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E4" w:rsidRDefault="00083CE4" w:rsidP="00E415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Sitzungsvorlage</w:t>
      </w:r>
    </w:p>
    <w:p w:rsidR="00083CE4" w:rsidRDefault="00083CE4" w:rsidP="00E415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Gemeinderatssitzung vom </w:t>
      </w:r>
      <w:r w:rsidR="003955E5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3955E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.2018</w:t>
      </w:r>
    </w:p>
    <w:p w:rsidR="00083CE4" w:rsidRDefault="00083CE4" w:rsidP="00E415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55E5" w:rsidRPr="003955E5" w:rsidRDefault="003955E5" w:rsidP="00E415B8">
      <w:pPr>
        <w:widowControl w:val="0"/>
        <w:overflowPunct/>
        <w:adjustRightInd/>
        <w:spacing w:before="205" w:line="252" w:lineRule="exact"/>
        <w:jc w:val="both"/>
        <w:textAlignment w:val="auto"/>
        <w:outlineLvl w:val="0"/>
        <w:rPr>
          <w:rFonts w:ascii="Arial" w:eastAsia="Arial" w:hAnsi="Arial" w:cs="Arial"/>
          <w:b/>
          <w:bCs/>
          <w:sz w:val="22"/>
          <w:szCs w:val="22"/>
          <w:lang w:bidi="de-DE"/>
        </w:rPr>
      </w:pPr>
      <w:r>
        <w:rPr>
          <w:rFonts w:ascii="Arial" w:eastAsia="Arial" w:hAnsi="Arial" w:cs="Arial"/>
          <w:b/>
          <w:bCs/>
          <w:sz w:val="22"/>
          <w:szCs w:val="22"/>
          <w:lang w:bidi="de-DE"/>
        </w:rPr>
        <w:t>Tagesordnungspunkt 3:</w:t>
      </w:r>
    </w:p>
    <w:p w:rsidR="003955E5" w:rsidRDefault="003955E5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b/>
          <w:spacing w:val="-1"/>
          <w:sz w:val="22"/>
          <w:szCs w:val="22"/>
          <w:lang w:bidi="de-DE"/>
        </w:rPr>
      </w:pPr>
      <w:r w:rsidRPr="003955E5">
        <w:rPr>
          <w:rFonts w:ascii="Arial" w:eastAsia="Arial" w:hAnsi="Arial" w:cs="Arial"/>
          <w:b/>
          <w:sz w:val="22"/>
          <w:szCs w:val="22"/>
          <w:lang w:bidi="de-DE"/>
        </w:rPr>
        <w:t>Bebauungsplan</w:t>
      </w:r>
      <w:r w:rsidRPr="003955E5">
        <w:rPr>
          <w:rFonts w:ascii="Arial" w:eastAsia="Arial" w:hAnsi="Arial" w:cs="Arial"/>
          <w:b/>
          <w:spacing w:val="-11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b/>
          <w:sz w:val="22"/>
          <w:szCs w:val="22"/>
          <w:lang w:bidi="de-DE"/>
        </w:rPr>
        <w:t>‚Westlich</w:t>
      </w:r>
      <w:r w:rsidRPr="003955E5">
        <w:rPr>
          <w:rFonts w:ascii="Arial" w:eastAsia="Arial" w:hAnsi="Arial" w:cs="Arial"/>
          <w:b/>
          <w:spacing w:val="-11"/>
          <w:sz w:val="22"/>
          <w:szCs w:val="22"/>
          <w:lang w:bidi="de-DE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sz w:val="22"/>
          <w:szCs w:val="22"/>
          <w:lang w:bidi="de-DE"/>
        </w:rPr>
        <w:t>S</w:t>
      </w:r>
      <w:r w:rsidRPr="003955E5">
        <w:rPr>
          <w:rFonts w:ascii="Arial" w:eastAsia="Arial" w:hAnsi="Arial" w:cs="Arial"/>
          <w:b/>
          <w:sz w:val="22"/>
          <w:szCs w:val="22"/>
          <w:lang w:bidi="de-DE"/>
        </w:rPr>
        <w:t>audstraße</w:t>
      </w:r>
      <w:proofErr w:type="spellEnd"/>
      <w:r w:rsidRPr="003955E5">
        <w:rPr>
          <w:rFonts w:ascii="Arial" w:eastAsia="Arial" w:hAnsi="Arial" w:cs="Arial"/>
          <w:b/>
          <w:sz w:val="22"/>
          <w:szCs w:val="22"/>
          <w:lang w:bidi="de-DE"/>
        </w:rPr>
        <w:t>/</w:t>
      </w:r>
      <w:proofErr w:type="spellStart"/>
      <w:r w:rsidRPr="003955E5">
        <w:rPr>
          <w:rFonts w:ascii="Arial" w:eastAsia="Arial" w:hAnsi="Arial" w:cs="Arial"/>
          <w:b/>
          <w:sz w:val="22"/>
          <w:szCs w:val="22"/>
          <w:lang w:bidi="de-DE"/>
        </w:rPr>
        <w:t>Linzgaustraße</w:t>
      </w:r>
      <w:proofErr w:type="spellEnd"/>
      <w:r w:rsidRPr="003955E5">
        <w:rPr>
          <w:rFonts w:ascii="Arial" w:eastAsia="Arial" w:hAnsi="Arial" w:cs="Arial"/>
          <w:b/>
          <w:sz w:val="22"/>
          <w:szCs w:val="22"/>
          <w:lang w:bidi="de-DE"/>
        </w:rPr>
        <w:t>‘</w:t>
      </w:r>
      <w:r w:rsidRPr="003955E5">
        <w:rPr>
          <w:rFonts w:ascii="Arial" w:eastAsia="Arial" w:hAnsi="Arial" w:cs="Arial"/>
          <w:b/>
          <w:spacing w:val="-1"/>
          <w:sz w:val="22"/>
          <w:szCs w:val="22"/>
          <w:lang w:bidi="de-DE"/>
        </w:rPr>
        <w:t xml:space="preserve"> </w:t>
      </w:r>
    </w:p>
    <w:p w:rsidR="003955E5" w:rsidRPr="003955E5" w:rsidRDefault="003955E5" w:rsidP="00E415B8">
      <w:pPr>
        <w:pStyle w:val="Listenabsatz"/>
        <w:widowControl w:val="0"/>
        <w:numPr>
          <w:ilvl w:val="0"/>
          <w:numId w:val="18"/>
        </w:numPr>
        <w:overflowPunct/>
        <w:adjustRightInd/>
        <w:jc w:val="both"/>
        <w:textAlignment w:val="auto"/>
        <w:rPr>
          <w:rFonts w:ascii="Arial" w:eastAsia="Arial" w:hAnsi="Arial" w:cs="Arial"/>
          <w:b/>
          <w:sz w:val="22"/>
          <w:szCs w:val="22"/>
          <w:lang w:bidi="de-DE"/>
        </w:rPr>
      </w:pPr>
      <w:r w:rsidRPr="003955E5">
        <w:rPr>
          <w:rFonts w:ascii="Arial" w:eastAsia="Arial" w:hAnsi="Arial" w:cs="Arial"/>
          <w:b/>
          <w:sz w:val="22"/>
          <w:szCs w:val="22"/>
          <w:lang w:bidi="de-DE"/>
        </w:rPr>
        <w:t>Behandlung der im Rahmen der öffentlichen Auslegung eingegangenen Stellungnahmen</w:t>
      </w:r>
    </w:p>
    <w:p w:rsidR="003955E5" w:rsidRPr="003955E5" w:rsidRDefault="003955E5" w:rsidP="00E415B8">
      <w:pPr>
        <w:pStyle w:val="Listenabsatz"/>
        <w:widowControl w:val="0"/>
        <w:numPr>
          <w:ilvl w:val="0"/>
          <w:numId w:val="18"/>
        </w:numPr>
        <w:overflowPunct/>
        <w:adjustRightInd/>
        <w:jc w:val="both"/>
        <w:textAlignment w:val="auto"/>
        <w:rPr>
          <w:rFonts w:ascii="Arial" w:eastAsia="Arial" w:hAnsi="Arial" w:cs="Arial"/>
          <w:b/>
          <w:sz w:val="22"/>
          <w:szCs w:val="22"/>
          <w:lang w:bidi="de-DE"/>
        </w:rPr>
      </w:pPr>
      <w:r w:rsidRPr="003955E5">
        <w:rPr>
          <w:rFonts w:ascii="Arial" w:eastAsia="Arial" w:hAnsi="Arial" w:cs="Arial"/>
          <w:b/>
          <w:sz w:val="22"/>
          <w:szCs w:val="22"/>
          <w:lang w:bidi="de-DE"/>
        </w:rPr>
        <w:t>Erneuter Auslegungsbeschluss</w:t>
      </w:r>
    </w:p>
    <w:p w:rsidR="00E415B8" w:rsidRDefault="003955E5" w:rsidP="00E415B8">
      <w:pPr>
        <w:widowControl w:val="0"/>
        <w:overflowPunct/>
        <w:adjustRightInd/>
        <w:spacing w:before="9" w:line="500" w:lineRule="atLeast"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3955E5">
        <w:rPr>
          <w:rFonts w:ascii="Arial" w:eastAsia="Arial" w:hAnsi="Arial" w:cs="Arial"/>
          <w:sz w:val="22"/>
          <w:szCs w:val="22"/>
          <w:lang w:bidi="de-DE"/>
        </w:rPr>
        <w:t xml:space="preserve">(Vorgang: </w:t>
      </w:r>
      <w:r w:rsidR="00E415B8">
        <w:rPr>
          <w:rFonts w:ascii="Arial" w:eastAsia="Arial" w:hAnsi="Arial" w:cs="Arial"/>
          <w:sz w:val="22"/>
          <w:szCs w:val="22"/>
          <w:lang w:bidi="de-DE"/>
        </w:rPr>
        <w:t>GR 10.10.2017, TOP 5 öffentlich; GR 12.12.2017, TOP 5 öffentlich)</w:t>
      </w:r>
    </w:p>
    <w:p w:rsidR="003955E5" w:rsidRPr="003955E5" w:rsidRDefault="003955E5" w:rsidP="00E415B8">
      <w:pPr>
        <w:widowControl w:val="0"/>
        <w:overflowPunct/>
        <w:adjustRightInd/>
        <w:spacing w:before="9" w:line="500" w:lineRule="atLeast"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3955E5">
        <w:rPr>
          <w:rFonts w:ascii="Arial" w:eastAsia="Arial" w:hAnsi="Arial" w:cs="Arial"/>
          <w:sz w:val="22"/>
          <w:szCs w:val="22"/>
          <w:u w:val="single"/>
          <w:lang w:bidi="de-DE"/>
        </w:rPr>
        <w:t>I. Sachvortrag</w:t>
      </w:r>
    </w:p>
    <w:p w:rsidR="003955E5" w:rsidRPr="003955E5" w:rsidRDefault="003955E5" w:rsidP="00E415B8">
      <w:pPr>
        <w:widowControl w:val="0"/>
        <w:overflowPunct/>
        <w:adjustRightInd/>
        <w:spacing w:before="6"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3955E5">
        <w:rPr>
          <w:rFonts w:ascii="Arial" w:eastAsia="Arial" w:hAnsi="Arial" w:cs="Arial"/>
          <w:sz w:val="22"/>
          <w:szCs w:val="22"/>
          <w:lang w:bidi="de-DE"/>
        </w:rPr>
        <w:t xml:space="preserve">Um die Planung auf dem Grundstück 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Flst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. Nr. 745/9 der Gemarkung Altheim bzw. die Nachbarliegenschaften</w:t>
      </w:r>
      <w:r w:rsidRPr="003955E5">
        <w:rPr>
          <w:rFonts w:ascii="Arial" w:eastAsia="Arial" w:hAnsi="Arial" w:cs="Arial"/>
          <w:spacing w:val="-2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innerhalb</w:t>
      </w:r>
      <w:r w:rsidRPr="003955E5">
        <w:rPr>
          <w:rFonts w:ascii="Arial" w:eastAsia="Arial" w:hAnsi="Arial" w:cs="Arial"/>
          <w:spacing w:val="-17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der</w:t>
      </w:r>
      <w:r w:rsidRPr="003955E5">
        <w:rPr>
          <w:rFonts w:ascii="Arial" w:eastAsia="Arial" w:hAnsi="Arial" w:cs="Arial"/>
          <w:spacing w:val="-16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vorhandenen</w:t>
      </w:r>
      <w:r w:rsidRPr="003955E5">
        <w:rPr>
          <w:rFonts w:ascii="Arial" w:eastAsia="Arial" w:hAnsi="Arial" w:cs="Arial"/>
          <w:spacing w:val="-17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Abrundungssatzung</w:t>
      </w:r>
      <w:r w:rsidRPr="003955E5">
        <w:rPr>
          <w:rFonts w:ascii="Arial" w:eastAsia="Arial" w:hAnsi="Arial" w:cs="Arial"/>
          <w:spacing w:val="-17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zu</w:t>
      </w:r>
      <w:r w:rsidRPr="003955E5">
        <w:rPr>
          <w:rFonts w:ascii="Arial" w:eastAsia="Arial" w:hAnsi="Arial" w:cs="Arial"/>
          <w:spacing w:val="-17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sichern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(das</w:t>
      </w:r>
      <w:r w:rsidRPr="003955E5">
        <w:rPr>
          <w:rFonts w:ascii="Arial" w:eastAsia="Arial" w:hAnsi="Arial" w:cs="Arial"/>
          <w:spacing w:val="-19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 xml:space="preserve">Grundstück ist aufgrund der Abrundungssatzung „Westlich 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Saudstraße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/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Linzgaustraße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“ teilweise dem Innenbereich zugehörig) und um zu verhindern, dass dort Bauvorhaben realisiert werden, die der</w:t>
      </w:r>
      <w:r w:rsidRPr="003955E5">
        <w:rPr>
          <w:rFonts w:ascii="Arial" w:eastAsia="Arial" w:hAnsi="Arial" w:cs="Arial"/>
          <w:spacing w:val="-8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Planungsabsicht</w:t>
      </w:r>
      <w:r w:rsidRPr="003955E5">
        <w:rPr>
          <w:rFonts w:ascii="Arial" w:eastAsia="Arial" w:hAnsi="Arial" w:cs="Arial"/>
          <w:spacing w:val="-8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bzw.</w:t>
      </w:r>
      <w:r w:rsidRPr="003955E5">
        <w:rPr>
          <w:rFonts w:ascii="Arial" w:eastAsia="Arial" w:hAnsi="Arial" w:cs="Arial"/>
          <w:spacing w:val="-8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dem</w:t>
      </w:r>
      <w:r w:rsidRPr="003955E5">
        <w:rPr>
          <w:rFonts w:ascii="Arial" w:eastAsia="Arial" w:hAnsi="Arial" w:cs="Arial"/>
          <w:spacing w:val="-1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Planungsziel</w:t>
      </w:r>
      <w:r w:rsidRPr="003955E5">
        <w:rPr>
          <w:rFonts w:ascii="Arial" w:eastAsia="Arial" w:hAnsi="Arial" w:cs="Arial"/>
          <w:spacing w:val="-1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der</w:t>
      </w:r>
      <w:r w:rsidRPr="003955E5">
        <w:rPr>
          <w:rFonts w:ascii="Arial" w:eastAsia="Arial" w:hAnsi="Arial" w:cs="Arial"/>
          <w:spacing w:val="-1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Gemeinde</w:t>
      </w:r>
      <w:r w:rsidRPr="003955E5">
        <w:rPr>
          <w:rFonts w:ascii="Arial" w:eastAsia="Arial" w:hAnsi="Arial" w:cs="Arial"/>
          <w:spacing w:val="-9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zuwiderlaufen,</w:t>
      </w:r>
      <w:r w:rsidRPr="003955E5">
        <w:rPr>
          <w:rFonts w:ascii="Arial" w:eastAsia="Arial" w:hAnsi="Arial" w:cs="Arial"/>
          <w:spacing w:val="-1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hat</w:t>
      </w:r>
      <w:r w:rsidRPr="003955E5">
        <w:rPr>
          <w:rFonts w:ascii="Arial" w:eastAsia="Arial" w:hAnsi="Arial" w:cs="Arial"/>
          <w:spacing w:val="-7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der</w:t>
      </w:r>
      <w:r w:rsidRPr="003955E5">
        <w:rPr>
          <w:rFonts w:ascii="Arial" w:eastAsia="Arial" w:hAnsi="Arial" w:cs="Arial"/>
          <w:spacing w:val="-10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 xml:space="preserve">Gemeinderat für den Planbereich der Abrundungssatzung „Westlich 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Saudstraße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/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Linzgaustraße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“ in seiner Sitzung vom 10.10.2017 beschlossen, einen Bebauungsplan aufzustellen. Gleichzeitig wurde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der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erforderliche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Aufstellungsbeschluss</w:t>
      </w:r>
      <w:r w:rsidRPr="003955E5">
        <w:rPr>
          <w:rFonts w:ascii="Arial" w:eastAsia="Arial" w:hAnsi="Arial" w:cs="Arial"/>
          <w:spacing w:val="-15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gefasst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und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das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Büro</w:t>
      </w:r>
      <w:r w:rsidRPr="003955E5">
        <w:rPr>
          <w:rFonts w:ascii="Arial" w:eastAsia="Arial" w:hAnsi="Arial" w:cs="Arial"/>
          <w:spacing w:val="-15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Hornstein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aus</w:t>
      </w:r>
      <w:r w:rsidRPr="003955E5">
        <w:rPr>
          <w:rFonts w:ascii="Arial" w:eastAsia="Arial" w:hAnsi="Arial" w:cs="Arial"/>
          <w:spacing w:val="-14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Überlingen mit der Überplanung</w:t>
      </w:r>
      <w:r w:rsidRPr="003955E5">
        <w:rPr>
          <w:rFonts w:ascii="Arial" w:eastAsia="Arial" w:hAnsi="Arial" w:cs="Arial"/>
          <w:spacing w:val="1"/>
          <w:sz w:val="22"/>
          <w:szCs w:val="22"/>
          <w:lang w:bidi="de-DE"/>
        </w:rPr>
        <w:t xml:space="preserve"> </w:t>
      </w:r>
      <w:r w:rsidRPr="003955E5">
        <w:rPr>
          <w:rFonts w:ascii="Arial" w:eastAsia="Arial" w:hAnsi="Arial" w:cs="Arial"/>
          <w:sz w:val="22"/>
          <w:szCs w:val="22"/>
          <w:lang w:bidi="de-DE"/>
        </w:rPr>
        <w:t>beauftragt.</w:t>
      </w:r>
    </w:p>
    <w:p w:rsidR="003955E5" w:rsidRPr="003955E5" w:rsidRDefault="003955E5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3955E5" w:rsidRDefault="003955E5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3955E5">
        <w:rPr>
          <w:rFonts w:ascii="Arial" w:eastAsia="Arial" w:hAnsi="Arial" w:cs="Arial"/>
          <w:sz w:val="22"/>
          <w:szCs w:val="22"/>
          <w:lang w:bidi="de-DE"/>
        </w:rPr>
        <w:t xml:space="preserve">Beim Bebauungsplan ‚Westlich 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Saudstraße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/</w:t>
      </w:r>
      <w:proofErr w:type="spellStart"/>
      <w:r w:rsidRPr="003955E5">
        <w:rPr>
          <w:rFonts w:ascii="Arial" w:eastAsia="Arial" w:hAnsi="Arial" w:cs="Arial"/>
          <w:sz w:val="22"/>
          <w:szCs w:val="22"/>
          <w:lang w:bidi="de-DE"/>
        </w:rPr>
        <w:t>Linzgaustraße</w:t>
      </w:r>
      <w:proofErr w:type="spellEnd"/>
      <w:r w:rsidRPr="003955E5">
        <w:rPr>
          <w:rFonts w:ascii="Arial" w:eastAsia="Arial" w:hAnsi="Arial" w:cs="Arial"/>
          <w:sz w:val="22"/>
          <w:szCs w:val="22"/>
          <w:lang w:bidi="de-DE"/>
        </w:rPr>
        <w:t>‘ handelt es sich um einen Bebauungsplan der Innenentwicklung nach § 13a BauGB. Demzufolge kann das Verfahren beschleunigt werden und auf die Durchführung einer Umweltprüfung verzichtet werden (keine Eingriffs-/Ausgleichsbilanzierung).</w:t>
      </w: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3955E5" w:rsidRPr="003955E5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>
        <w:rPr>
          <w:rFonts w:ascii="Arial" w:eastAsia="Arial" w:hAnsi="Arial" w:cs="Arial"/>
          <w:sz w:val="22"/>
          <w:szCs w:val="22"/>
          <w:lang w:bidi="de-DE"/>
        </w:rPr>
        <w:t xml:space="preserve">Der Gemeinderat hat in seiner Sitzung vom 12.12.2017 beschlossen, den damals vorliegenden Bebauungsplan zu billigen und den </w:t>
      </w:r>
      <w:r w:rsidR="003955E5" w:rsidRPr="003955E5">
        <w:rPr>
          <w:rFonts w:ascii="Arial" w:eastAsia="Arial" w:hAnsi="Arial" w:cs="Arial"/>
          <w:sz w:val="22"/>
          <w:szCs w:val="22"/>
          <w:lang w:bidi="de-DE"/>
        </w:rPr>
        <w:t xml:space="preserve">Beschluss </w:t>
      </w:r>
      <w:r>
        <w:rPr>
          <w:rFonts w:ascii="Arial" w:eastAsia="Arial" w:hAnsi="Arial" w:cs="Arial"/>
          <w:sz w:val="22"/>
          <w:szCs w:val="22"/>
          <w:lang w:bidi="de-DE"/>
        </w:rPr>
        <w:t xml:space="preserve">zu </w:t>
      </w:r>
      <w:r w:rsidR="003955E5" w:rsidRPr="003955E5">
        <w:rPr>
          <w:rFonts w:ascii="Arial" w:eastAsia="Arial" w:hAnsi="Arial" w:cs="Arial"/>
          <w:sz w:val="22"/>
          <w:szCs w:val="22"/>
          <w:lang w:bidi="de-DE"/>
        </w:rPr>
        <w:t>fassen, dass der Bebauungsplanentwurf nunmehr auf die Dauer eines Monats öffentlich ausgelegt</w:t>
      </w:r>
      <w:r w:rsidR="003955E5" w:rsidRPr="003955E5">
        <w:rPr>
          <w:rFonts w:ascii="Arial" w:eastAsia="Arial" w:hAnsi="Arial" w:cs="Arial"/>
          <w:spacing w:val="1"/>
          <w:sz w:val="22"/>
          <w:szCs w:val="22"/>
          <w:lang w:bidi="de-DE"/>
        </w:rPr>
        <w:t xml:space="preserve"> </w:t>
      </w:r>
      <w:r w:rsidR="003955E5" w:rsidRPr="003955E5">
        <w:rPr>
          <w:rFonts w:ascii="Arial" w:eastAsia="Arial" w:hAnsi="Arial" w:cs="Arial"/>
          <w:sz w:val="22"/>
          <w:szCs w:val="22"/>
          <w:lang w:bidi="de-DE"/>
        </w:rPr>
        <w:t>wird.</w:t>
      </w:r>
      <w:r>
        <w:rPr>
          <w:rFonts w:ascii="Arial" w:eastAsia="Arial" w:hAnsi="Arial" w:cs="Arial"/>
          <w:sz w:val="22"/>
          <w:szCs w:val="22"/>
          <w:lang w:bidi="de-DE"/>
        </w:rPr>
        <w:t xml:space="preserve"> Die 1. öffentliche Auslegung des Entwurfs erfolgte in der Zeit vom 02.01. bis 02.02.2018. Gleichzeitig wurden die Behörden und Träger öffentlicher Belange angehört.</w:t>
      </w:r>
    </w:p>
    <w:p w:rsidR="003955E5" w:rsidRPr="00E415B8" w:rsidRDefault="003955E5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E415B8">
        <w:rPr>
          <w:rFonts w:ascii="Arial" w:eastAsia="Arial" w:hAnsi="Arial" w:cs="Arial"/>
          <w:sz w:val="22"/>
          <w:szCs w:val="22"/>
          <w:lang w:bidi="de-DE"/>
        </w:rPr>
        <w:t>Aufgrund</w:t>
      </w:r>
      <w:r>
        <w:rPr>
          <w:rFonts w:ascii="Arial" w:eastAsia="Arial" w:hAnsi="Arial" w:cs="Arial"/>
          <w:sz w:val="22"/>
          <w:szCs w:val="22"/>
          <w:lang w:bidi="de-DE"/>
        </w:rPr>
        <w:t xml:space="preserve"> der vorliegenden Stellungnahmen und der damit einhergehenden Planänderungen ist eine erneute öffentliche Auslegung des Planentwurfs erforderlich.</w:t>
      </w: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>
        <w:rPr>
          <w:rFonts w:ascii="Arial" w:eastAsia="Arial" w:hAnsi="Arial" w:cs="Arial"/>
          <w:sz w:val="22"/>
          <w:szCs w:val="22"/>
          <w:lang w:bidi="de-DE"/>
        </w:rPr>
        <w:t>Herr Hornstein wird die eingegangenen Stellungnahmen (mit Behandlungsvorschlag) sowie die nunmehr vorliegende Planung ausführlich in der Sitzung vorstellen.</w:t>
      </w: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P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u w:val="single"/>
          <w:lang w:bidi="de-DE"/>
        </w:rPr>
      </w:pPr>
      <w:r w:rsidRPr="00E415B8">
        <w:rPr>
          <w:rFonts w:ascii="Arial" w:eastAsia="Arial" w:hAnsi="Arial" w:cs="Arial"/>
          <w:sz w:val="22"/>
          <w:szCs w:val="22"/>
          <w:u w:val="single"/>
          <w:lang w:bidi="de-DE"/>
        </w:rPr>
        <w:t>II. Beschlussvorschlag</w:t>
      </w:r>
    </w:p>
    <w:p w:rsidR="00E415B8" w:rsidRP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E415B8">
        <w:rPr>
          <w:rFonts w:ascii="Arial" w:eastAsia="Arial" w:hAnsi="Arial" w:cs="Arial"/>
          <w:sz w:val="22"/>
          <w:szCs w:val="22"/>
          <w:lang w:bidi="de-DE"/>
        </w:rPr>
        <w:t>Der Gemeinderat möge</w:t>
      </w:r>
    </w:p>
    <w:p w:rsidR="00E415B8" w:rsidRPr="00E415B8" w:rsidRDefault="00E415B8" w:rsidP="00E415B8">
      <w:pPr>
        <w:widowControl w:val="0"/>
        <w:numPr>
          <w:ilvl w:val="1"/>
          <w:numId w:val="17"/>
        </w:numPr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E415B8">
        <w:rPr>
          <w:rFonts w:ascii="Arial" w:eastAsia="Arial" w:hAnsi="Arial" w:cs="Arial"/>
          <w:sz w:val="22"/>
          <w:szCs w:val="22"/>
          <w:lang w:bidi="de-DE"/>
        </w:rPr>
        <w:t xml:space="preserve">den </w:t>
      </w:r>
      <w:r>
        <w:rPr>
          <w:rFonts w:ascii="Arial" w:eastAsia="Arial" w:hAnsi="Arial" w:cs="Arial"/>
          <w:sz w:val="22"/>
          <w:szCs w:val="22"/>
          <w:lang w:bidi="de-DE"/>
        </w:rPr>
        <w:t xml:space="preserve">nunmehr </w:t>
      </w:r>
      <w:r w:rsidRPr="00E415B8">
        <w:rPr>
          <w:rFonts w:ascii="Arial" w:eastAsia="Arial" w:hAnsi="Arial" w:cs="Arial"/>
          <w:sz w:val="22"/>
          <w:szCs w:val="22"/>
          <w:lang w:bidi="de-DE"/>
        </w:rPr>
        <w:t>vorliegenden Bebauungsplanentwurf (ggf. mit Änderungen) billigen und</w:t>
      </w:r>
    </w:p>
    <w:p w:rsidR="00E415B8" w:rsidRDefault="00E415B8" w:rsidP="00E415B8">
      <w:pPr>
        <w:widowControl w:val="0"/>
        <w:numPr>
          <w:ilvl w:val="1"/>
          <w:numId w:val="17"/>
        </w:numPr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 w:rsidRPr="00E415B8">
        <w:rPr>
          <w:rFonts w:ascii="Arial" w:eastAsia="Arial" w:hAnsi="Arial" w:cs="Arial"/>
          <w:sz w:val="22"/>
          <w:szCs w:val="22"/>
          <w:lang w:bidi="de-DE"/>
        </w:rPr>
        <w:t xml:space="preserve">den Beschluss fassen, dass der Bebauungsplanentwurf auf die Dauer eines Monats </w:t>
      </w:r>
      <w:r>
        <w:rPr>
          <w:rFonts w:ascii="Arial" w:eastAsia="Arial" w:hAnsi="Arial" w:cs="Arial"/>
          <w:sz w:val="22"/>
          <w:szCs w:val="22"/>
          <w:lang w:bidi="de-DE"/>
        </w:rPr>
        <w:t xml:space="preserve">erneut </w:t>
      </w:r>
      <w:r w:rsidRPr="00E415B8">
        <w:rPr>
          <w:rFonts w:ascii="Arial" w:eastAsia="Arial" w:hAnsi="Arial" w:cs="Arial"/>
          <w:sz w:val="22"/>
          <w:szCs w:val="22"/>
          <w:lang w:bidi="de-DE"/>
        </w:rPr>
        <w:t>öffentlich ausgelegt wird.</w:t>
      </w: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</w:p>
    <w:p w:rsidR="00E415B8" w:rsidRP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u w:val="single"/>
          <w:lang w:bidi="de-DE"/>
        </w:rPr>
      </w:pPr>
      <w:r w:rsidRPr="00E415B8">
        <w:rPr>
          <w:rFonts w:ascii="Arial" w:eastAsia="Arial" w:hAnsi="Arial" w:cs="Arial"/>
          <w:sz w:val="22"/>
          <w:szCs w:val="22"/>
          <w:u w:val="single"/>
          <w:lang w:bidi="de-DE"/>
        </w:rPr>
        <w:t>III. Anlagen</w:t>
      </w:r>
    </w:p>
    <w:p w:rsidR="00E415B8" w:rsidRDefault="00E415B8" w:rsidP="00E415B8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>
        <w:rPr>
          <w:rFonts w:ascii="Arial" w:eastAsia="Arial" w:hAnsi="Arial" w:cs="Arial"/>
          <w:sz w:val="22"/>
          <w:szCs w:val="22"/>
          <w:lang w:bidi="de-DE"/>
        </w:rPr>
        <w:t>Bebauungsplanentwurf mit Textteil und Begründung</w:t>
      </w:r>
      <w:r w:rsidR="00F45F9E">
        <w:rPr>
          <w:rFonts w:ascii="Arial" w:eastAsia="Arial" w:hAnsi="Arial" w:cs="Arial"/>
          <w:sz w:val="22"/>
          <w:szCs w:val="22"/>
          <w:lang w:bidi="de-DE"/>
        </w:rPr>
        <w:t xml:space="preserve"> (wird per E-Mail zugesendet)</w:t>
      </w:r>
    </w:p>
    <w:p w:rsidR="00F45F9E" w:rsidRDefault="00E415B8" w:rsidP="00F45F9E">
      <w:pPr>
        <w:widowControl w:val="0"/>
        <w:overflowPunct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>
        <w:rPr>
          <w:rFonts w:ascii="Arial" w:eastAsia="Arial" w:hAnsi="Arial" w:cs="Arial"/>
          <w:sz w:val="22"/>
          <w:szCs w:val="22"/>
          <w:lang w:bidi="de-DE"/>
        </w:rPr>
        <w:t xml:space="preserve">Zusammenstellung Stellungnahmen der Behörden und Mitbürger </w:t>
      </w:r>
      <w:r w:rsidR="00F45F9E">
        <w:rPr>
          <w:rFonts w:ascii="Arial" w:eastAsia="Arial" w:hAnsi="Arial" w:cs="Arial"/>
          <w:sz w:val="22"/>
          <w:szCs w:val="22"/>
          <w:lang w:bidi="de-DE"/>
        </w:rPr>
        <w:t xml:space="preserve">mit Behandlungsvorschlag </w:t>
      </w:r>
    </w:p>
    <w:p w:rsidR="00E415B8" w:rsidRPr="00E415B8" w:rsidRDefault="00F45F9E" w:rsidP="00F45F9E">
      <w:pPr>
        <w:widowControl w:val="0"/>
        <w:overflowPunct/>
        <w:adjustRightInd/>
        <w:ind w:left="4956" w:firstLine="708"/>
        <w:jc w:val="both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r>
        <w:rPr>
          <w:rFonts w:ascii="Arial" w:eastAsia="Arial" w:hAnsi="Arial" w:cs="Arial"/>
          <w:sz w:val="22"/>
          <w:szCs w:val="22"/>
          <w:lang w:bidi="de-DE"/>
        </w:rPr>
        <w:t>(wird per E-Mail zugesendet)</w:t>
      </w:r>
    </w:p>
    <w:p w:rsidR="00E415B8" w:rsidRDefault="00E415B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" w:hAnsi="Arial" w:cs="Arial"/>
          <w:sz w:val="22"/>
          <w:szCs w:val="22"/>
          <w:lang w:bidi="de-DE"/>
        </w:rPr>
      </w:pPr>
      <w:bookmarkStart w:id="0" w:name="_GoBack"/>
      <w:bookmarkEnd w:id="0"/>
    </w:p>
    <w:sectPr w:rsidR="00E41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0460B2"/>
    <w:multiLevelType w:val="hybridMultilevel"/>
    <w:tmpl w:val="186E8402"/>
    <w:lvl w:ilvl="0" w:tplc="F3E8B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948"/>
    <w:multiLevelType w:val="hybridMultilevel"/>
    <w:tmpl w:val="BC9A0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493A"/>
    <w:multiLevelType w:val="hybridMultilevel"/>
    <w:tmpl w:val="9F48281C"/>
    <w:lvl w:ilvl="0" w:tplc="AB8ED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E6F77"/>
    <w:multiLevelType w:val="hybridMultilevel"/>
    <w:tmpl w:val="F1B06BC4"/>
    <w:lvl w:ilvl="0" w:tplc="A49456BE">
      <w:start w:val="1"/>
      <w:numFmt w:val="upperRoman"/>
      <w:lvlText w:val="%1."/>
      <w:lvlJc w:val="left"/>
      <w:pPr>
        <w:ind w:left="343" w:hanging="185"/>
      </w:pPr>
      <w:rPr>
        <w:rFonts w:hint="default"/>
        <w:w w:val="100"/>
        <w:u w:val="single" w:color="000000"/>
        <w:lang w:val="de-DE" w:eastAsia="de-DE" w:bidi="de-DE"/>
      </w:rPr>
    </w:lvl>
    <w:lvl w:ilvl="1" w:tplc="3DF2C432">
      <w:numFmt w:val="bullet"/>
      <w:lvlText w:val="•"/>
      <w:lvlJc w:val="left"/>
      <w:pPr>
        <w:ind w:left="1254" w:hanging="185"/>
      </w:pPr>
      <w:rPr>
        <w:rFonts w:hint="default"/>
        <w:lang w:val="de-DE" w:eastAsia="de-DE" w:bidi="de-DE"/>
      </w:rPr>
    </w:lvl>
    <w:lvl w:ilvl="2" w:tplc="6A48E2FC">
      <w:numFmt w:val="bullet"/>
      <w:lvlText w:val="•"/>
      <w:lvlJc w:val="left"/>
      <w:pPr>
        <w:ind w:left="2169" w:hanging="185"/>
      </w:pPr>
      <w:rPr>
        <w:rFonts w:hint="default"/>
        <w:lang w:val="de-DE" w:eastAsia="de-DE" w:bidi="de-DE"/>
      </w:rPr>
    </w:lvl>
    <w:lvl w:ilvl="3" w:tplc="80CCA6E8">
      <w:numFmt w:val="bullet"/>
      <w:lvlText w:val="•"/>
      <w:lvlJc w:val="left"/>
      <w:pPr>
        <w:ind w:left="3083" w:hanging="185"/>
      </w:pPr>
      <w:rPr>
        <w:rFonts w:hint="default"/>
        <w:lang w:val="de-DE" w:eastAsia="de-DE" w:bidi="de-DE"/>
      </w:rPr>
    </w:lvl>
    <w:lvl w:ilvl="4" w:tplc="B0202A7C">
      <w:numFmt w:val="bullet"/>
      <w:lvlText w:val="•"/>
      <w:lvlJc w:val="left"/>
      <w:pPr>
        <w:ind w:left="3998" w:hanging="185"/>
      </w:pPr>
      <w:rPr>
        <w:rFonts w:hint="default"/>
        <w:lang w:val="de-DE" w:eastAsia="de-DE" w:bidi="de-DE"/>
      </w:rPr>
    </w:lvl>
    <w:lvl w:ilvl="5" w:tplc="445281CE">
      <w:numFmt w:val="bullet"/>
      <w:lvlText w:val="•"/>
      <w:lvlJc w:val="left"/>
      <w:pPr>
        <w:ind w:left="4913" w:hanging="185"/>
      </w:pPr>
      <w:rPr>
        <w:rFonts w:hint="default"/>
        <w:lang w:val="de-DE" w:eastAsia="de-DE" w:bidi="de-DE"/>
      </w:rPr>
    </w:lvl>
    <w:lvl w:ilvl="6" w:tplc="657C9BC6">
      <w:numFmt w:val="bullet"/>
      <w:lvlText w:val="•"/>
      <w:lvlJc w:val="left"/>
      <w:pPr>
        <w:ind w:left="5827" w:hanging="185"/>
      </w:pPr>
      <w:rPr>
        <w:rFonts w:hint="default"/>
        <w:lang w:val="de-DE" w:eastAsia="de-DE" w:bidi="de-DE"/>
      </w:rPr>
    </w:lvl>
    <w:lvl w:ilvl="7" w:tplc="6ED68262">
      <w:numFmt w:val="bullet"/>
      <w:lvlText w:val="•"/>
      <w:lvlJc w:val="left"/>
      <w:pPr>
        <w:ind w:left="6742" w:hanging="185"/>
      </w:pPr>
      <w:rPr>
        <w:rFonts w:hint="default"/>
        <w:lang w:val="de-DE" w:eastAsia="de-DE" w:bidi="de-DE"/>
      </w:rPr>
    </w:lvl>
    <w:lvl w:ilvl="8" w:tplc="60AE88C2">
      <w:numFmt w:val="bullet"/>
      <w:lvlText w:val="•"/>
      <w:lvlJc w:val="left"/>
      <w:pPr>
        <w:ind w:left="7657" w:hanging="185"/>
      </w:pPr>
      <w:rPr>
        <w:rFonts w:hint="default"/>
        <w:lang w:val="de-DE" w:eastAsia="de-DE" w:bidi="de-DE"/>
      </w:rPr>
    </w:lvl>
  </w:abstractNum>
  <w:abstractNum w:abstractNumId="5" w15:restartNumberingAfterBreak="0">
    <w:nsid w:val="297D6BFC"/>
    <w:multiLevelType w:val="hybridMultilevel"/>
    <w:tmpl w:val="F37EB2B6"/>
    <w:lvl w:ilvl="0" w:tplc="F3E8B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02E"/>
    <w:multiLevelType w:val="hybridMultilevel"/>
    <w:tmpl w:val="022A8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6B52"/>
    <w:multiLevelType w:val="hybridMultilevel"/>
    <w:tmpl w:val="FF3C4024"/>
    <w:lvl w:ilvl="0" w:tplc="FED03B9E">
      <w:start w:val="2"/>
      <w:numFmt w:val="upperRoman"/>
      <w:lvlText w:val="%1."/>
      <w:lvlJc w:val="left"/>
      <w:pPr>
        <w:ind w:left="158" w:hanging="247"/>
      </w:pPr>
      <w:rPr>
        <w:rFonts w:hint="default"/>
        <w:spacing w:val="-2"/>
        <w:w w:val="100"/>
        <w:u w:val="single" w:color="000000"/>
        <w:lang w:val="de-DE" w:eastAsia="de-DE" w:bidi="de-DE"/>
      </w:rPr>
    </w:lvl>
    <w:lvl w:ilvl="1" w:tplc="7A627FF6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72664210">
      <w:numFmt w:val="bullet"/>
      <w:lvlText w:val="•"/>
      <w:lvlJc w:val="left"/>
      <w:pPr>
        <w:ind w:left="1836" w:hanging="360"/>
      </w:pPr>
      <w:rPr>
        <w:rFonts w:hint="default"/>
        <w:lang w:val="de-DE" w:eastAsia="de-DE" w:bidi="de-DE"/>
      </w:rPr>
    </w:lvl>
    <w:lvl w:ilvl="3" w:tplc="F6047A36">
      <w:numFmt w:val="bullet"/>
      <w:lvlText w:val="•"/>
      <w:lvlJc w:val="left"/>
      <w:pPr>
        <w:ind w:left="2792" w:hanging="360"/>
      </w:pPr>
      <w:rPr>
        <w:rFonts w:hint="default"/>
        <w:lang w:val="de-DE" w:eastAsia="de-DE" w:bidi="de-DE"/>
      </w:rPr>
    </w:lvl>
    <w:lvl w:ilvl="4" w:tplc="E64A5C3C">
      <w:numFmt w:val="bullet"/>
      <w:lvlText w:val="•"/>
      <w:lvlJc w:val="left"/>
      <w:pPr>
        <w:ind w:left="3748" w:hanging="360"/>
      </w:pPr>
      <w:rPr>
        <w:rFonts w:hint="default"/>
        <w:lang w:val="de-DE" w:eastAsia="de-DE" w:bidi="de-DE"/>
      </w:rPr>
    </w:lvl>
    <w:lvl w:ilvl="5" w:tplc="DC786B20">
      <w:numFmt w:val="bullet"/>
      <w:lvlText w:val="•"/>
      <w:lvlJc w:val="left"/>
      <w:pPr>
        <w:ind w:left="4705" w:hanging="360"/>
      </w:pPr>
      <w:rPr>
        <w:rFonts w:hint="default"/>
        <w:lang w:val="de-DE" w:eastAsia="de-DE" w:bidi="de-DE"/>
      </w:rPr>
    </w:lvl>
    <w:lvl w:ilvl="6" w:tplc="18AE0C10">
      <w:numFmt w:val="bullet"/>
      <w:lvlText w:val="•"/>
      <w:lvlJc w:val="left"/>
      <w:pPr>
        <w:ind w:left="5661" w:hanging="360"/>
      </w:pPr>
      <w:rPr>
        <w:rFonts w:hint="default"/>
        <w:lang w:val="de-DE" w:eastAsia="de-DE" w:bidi="de-DE"/>
      </w:rPr>
    </w:lvl>
    <w:lvl w:ilvl="7" w:tplc="34B6A54E">
      <w:numFmt w:val="bullet"/>
      <w:lvlText w:val="•"/>
      <w:lvlJc w:val="left"/>
      <w:pPr>
        <w:ind w:left="6617" w:hanging="360"/>
      </w:pPr>
      <w:rPr>
        <w:rFonts w:hint="default"/>
        <w:lang w:val="de-DE" w:eastAsia="de-DE" w:bidi="de-DE"/>
      </w:rPr>
    </w:lvl>
    <w:lvl w:ilvl="8" w:tplc="2CD44AC2">
      <w:numFmt w:val="bullet"/>
      <w:lvlText w:val="•"/>
      <w:lvlJc w:val="left"/>
      <w:pPr>
        <w:ind w:left="7573" w:hanging="360"/>
      </w:pPr>
      <w:rPr>
        <w:rFonts w:hint="default"/>
        <w:lang w:val="de-DE" w:eastAsia="de-DE" w:bidi="de-DE"/>
      </w:rPr>
    </w:lvl>
  </w:abstractNum>
  <w:abstractNum w:abstractNumId="9" w15:restartNumberingAfterBreak="0">
    <w:nsid w:val="3D5F3527"/>
    <w:multiLevelType w:val="hybridMultilevel"/>
    <w:tmpl w:val="BB58AF0A"/>
    <w:lvl w:ilvl="0" w:tplc="BBD0D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58FE"/>
    <w:multiLevelType w:val="hybridMultilevel"/>
    <w:tmpl w:val="A72CE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751"/>
    <w:multiLevelType w:val="hybridMultilevel"/>
    <w:tmpl w:val="14BCEE56"/>
    <w:lvl w:ilvl="0" w:tplc="46B64000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B9C"/>
    <w:multiLevelType w:val="hybridMultilevel"/>
    <w:tmpl w:val="82FC6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A0FAE"/>
    <w:multiLevelType w:val="hybridMultilevel"/>
    <w:tmpl w:val="910AA5CE"/>
    <w:lvl w:ilvl="0" w:tplc="FB3A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4E35"/>
    <w:multiLevelType w:val="hybridMultilevel"/>
    <w:tmpl w:val="34421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0289"/>
    <w:multiLevelType w:val="hybridMultilevel"/>
    <w:tmpl w:val="1F8C8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95DD2"/>
    <w:multiLevelType w:val="hybridMultilevel"/>
    <w:tmpl w:val="F72021A6"/>
    <w:lvl w:ilvl="0" w:tplc="BBD0D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17"/>
  </w:num>
  <w:num w:numId="14">
    <w:abstractNumId w:val="6"/>
  </w:num>
  <w:num w:numId="15">
    <w:abstractNumId w:val="10"/>
  </w:num>
  <w:num w:numId="16">
    <w:abstractNumId w:val="18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9"/>
    <w:rsid w:val="0008120C"/>
    <w:rsid w:val="00083CE4"/>
    <w:rsid w:val="000D7276"/>
    <w:rsid w:val="00113151"/>
    <w:rsid w:val="00193044"/>
    <w:rsid w:val="001D61EC"/>
    <w:rsid w:val="001E4786"/>
    <w:rsid w:val="002A328F"/>
    <w:rsid w:val="002D09A1"/>
    <w:rsid w:val="002E42B6"/>
    <w:rsid w:val="002E6987"/>
    <w:rsid w:val="00320876"/>
    <w:rsid w:val="00320E35"/>
    <w:rsid w:val="003342DE"/>
    <w:rsid w:val="003955E5"/>
    <w:rsid w:val="00400B3A"/>
    <w:rsid w:val="00403405"/>
    <w:rsid w:val="00412FA2"/>
    <w:rsid w:val="0046264F"/>
    <w:rsid w:val="00475746"/>
    <w:rsid w:val="0054793D"/>
    <w:rsid w:val="00551829"/>
    <w:rsid w:val="005F69D0"/>
    <w:rsid w:val="007A0101"/>
    <w:rsid w:val="008F45FE"/>
    <w:rsid w:val="009E29DC"/>
    <w:rsid w:val="00A33D2E"/>
    <w:rsid w:val="00AB3B3E"/>
    <w:rsid w:val="00AE6FCF"/>
    <w:rsid w:val="00AE7D24"/>
    <w:rsid w:val="00AF48C5"/>
    <w:rsid w:val="00B76369"/>
    <w:rsid w:val="00BA2622"/>
    <w:rsid w:val="00C15458"/>
    <w:rsid w:val="00C73797"/>
    <w:rsid w:val="00C77B77"/>
    <w:rsid w:val="00D85AAE"/>
    <w:rsid w:val="00E23690"/>
    <w:rsid w:val="00E415B8"/>
    <w:rsid w:val="00F45F9E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217"/>
  <w15:chartTrackingRefBased/>
  <w15:docId w15:val="{EDC07C29-46B2-4D1D-A544-A50BA36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3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F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FCF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96E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1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E4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F9C2-C291-404D-B7F7-B4CBD3A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3</cp:revision>
  <cp:lastPrinted>2018-11-29T11:39:00Z</cp:lastPrinted>
  <dcterms:created xsi:type="dcterms:W3CDTF">2018-11-30T09:49:00Z</dcterms:created>
  <dcterms:modified xsi:type="dcterms:W3CDTF">2018-11-30T09:50:00Z</dcterms:modified>
</cp:coreProperties>
</file>