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F50" w:rsidRPr="004F3CC2" w:rsidRDefault="004C0F50" w:rsidP="004C0F50">
      <w:pPr>
        <w:jc w:val="both"/>
        <w:rPr>
          <w:rFonts w:cs="Arial"/>
          <w:b/>
          <w:bCs/>
          <w:szCs w:val="22"/>
        </w:rPr>
      </w:pPr>
      <w:r w:rsidRPr="004F3CC2">
        <w:rPr>
          <w:rFonts w:cs="Arial"/>
          <w:b/>
          <w:bCs/>
          <w:szCs w:val="22"/>
        </w:rPr>
        <w:t xml:space="preserve">Sitzungsvorlage  </w:t>
      </w:r>
    </w:p>
    <w:p w:rsidR="004C0F50" w:rsidRPr="004F3CC2" w:rsidRDefault="004C0F50" w:rsidP="004C0F50">
      <w:pPr>
        <w:jc w:val="both"/>
        <w:rPr>
          <w:rFonts w:cs="Arial"/>
          <w:b/>
          <w:bCs/>
          <w:szCs w:val="22"/>
        </w:rPr>
      </w:pPr>
      <w:r w:rsidRPr="004F3CC2">
        <w:rPr>
          <w:rFonts w:cs="Arial"/>
          <w:b/>
          <w:szCs w:val="22"/>
        </w:rPr>
        <w:t xml:space="preserve">Öffentliche Gemeinderatssitzung vom </w:t>
      </w:r>
      <w:r>
        <w:rPr>
          <w:rFonts w:cs="Arial"/>
          <w:b/>
          <w:szCs w:val="22"/>
        </w:rPr>
        <w:t>29.01</w:t>
      </w:r>
      <w:r>
        <w:rPr>
          <w:rFonts w:cs="Arial"/>
          <w:b/>
          <w:szCs w:val="22"/>
        </w:rPr>
        <w:t>.201</w:t>
      </w:r>
      <w:r>
        <w:rPr>
          <w:rFonts w:cs="Arial"/>
          <w:b/>
          <w:szCs w:val="22"/>
        </w:rPr>
        <w:t>9</w:t>
      </w:r>
    </w:p>
    <w:p w:rsidR="004C0F50" w:rsidRDefault="004C0F50" w:rsidP="00D51873">
      <w:pPr>
        <w:rPr>
          <w:b/>
        </w:rPr>
      </w:pPr>
    </w:p>
    <w:p w:rsidR="004C0F50" w:rsidRDefault="004C0F50" w:rsidP="00D51873">
      <w:pPr>
        <w:rPr>
          <w:b/>
        </w:rPr>
      </w:pPr>
    </w:p>
    <w:p w:rsidR="00D51873" w:rsidRDefault="00D51873" w:rsidP="00D51873">
      <w:pPr>
        <w:rPr>
          <w:b/>
        </w:rPr>
      </w:pPr>
      <w:r>
        <w:rPr>
          <w:b/>
        </w:rPr>
        <w:t xml:space="preserve">Tagesordnungspunkt </w:t>
      </w:r>
      <w:r w:rsidR="000355B4">
        <w:rPr>
          <w:b/>
        </w:rPr>
        <w:t>3</w:t>
      </w:r>
      <w:r w:rsidR="003664BE">
        <w:rPr>
          <w:b/>
        </w:rPr>
        <w:t>:</w:t>
      </w:r>
    </w:p>
    <w:p w:rsidR="0087186B" w:rsidRDefault="00D51873" w:rsidP="00D51873">
      <w:pPr>
        <w:rPr>
          <w:b/>
        </w:rPr>
      </w:pPr>
      <w:r w:rsidRPr="001C2149">
        <w:rPr>
          <w:b/>
        </w:rPr>
        <w:t>Haushaltssa</w:t>
      </w:r>
      <w:r w:rsidR="00837ACE">
        <w:rPr>
          <w:b/>
        </w:rPr>
        <w:t xml:space="preserve">tzung </w:t>
      </w:r>
      <w:r w:rsidR="000873AB">
        <w:rPr>
          <w:b/>
        </w:rPr>
        <w:t xml:space="preserve">mit </w:t>
      </w:r>
      <w:r w:rsidR="00837ACE">
        <w:rPr>
          <w:b/>
        </w:rPr>
        <w:t>Haushaltsplan 201</w:t>
      </w:r>
      <w:r w:rsidR="000355B4">
        <w:rPr>
          <w:b/>
        </w:rPr>
        <w:t>9</w:t>
      </w:r>
    </w:p>
    <w:p w:rsidR="00D51873" w:rsidRPr="0087186B" w:rsidRDefault="0095236B" w:rsidP="0087186B">
      <w:pPr>
        <w:numPr>
          <w:ilvl w:val="0"/>
          <w:numId w:val="10"/>
        </w:numPr>
      </w:pPr>
      <w:r>
        <w:t xml:space="preserve">Beratung und Beschlussfassung </w:t>
      </w:r>
    </w:p>
    <w:p w:rsidR="00D51873" w:rsidRDefault="00D51873" w:rsidP="00D51873">
      <w:pPr>
        <w:rPr>
          <w:b/>
        </w:rPr>
      </w:pPr>
    </w:p>
    <w:p w:rsidR="00F35C66" w:rsidRPr="00CC2333" w:rsidRDefault="00F35C66" w:rsidP="00D51873">
      <w:pPr>
        <w:rPr>
          <w:b/>
        </w:rPr>
      </w:pPr>
    </w:p>
    <w:p w:rsidR="000873AB" w:rsidRPr="00CC2333" w:rsidRDefault="000873AB" w:rsidP="000873AB">
      <w:pPr>
        <w:jc w:val="both"/>
        <w:rPr>
          <w:rFonts w:cs="Arial"/>
          <w:szCs w:val="22"/>
        </w:rPr>
      </w:pPr>
      <w:r w:rsidRPr="00CC2333">
        <w:t xml:space="preserve">(Vorgang: </w:t>
      </w:r>
      <w:r w:rsidR="00D97357" w:rsidRPr="00CC2333">
        <w:rPr>
          <w:rFonts w:cs="Arial"/>
          <w:szCs w:val="22"/>
        </w:rPr>
        <w:t>Klausurtagung nichtöffentlich; GR 1</w:t>
      </w:r>
      <w:r w:rsidR="00CC2333" w:rsidRPr="00CC2333">
        <w:rPr>
          <w:rFonts w:cs="Arial"/>
          <w:szCs w:val="22"/>
        </w:rPr>
        <w:t>1</w:t>
      </w:r>
      <w:r w:rsidRPr="00CC2333">
        <w:rPr>
          <w:rFonts w:cs="Arial"/>
          <w:szCs w:val="22"/>
        </w:rPr>
        <w:t>.</w:t>
      </w:r>
      <w:r w:rsidR="00D97357" w:rsidRPr="00CC2333">
        <w:rPr>
          <w:rFonts w:cs="Arial"/>
          <w:szCs w:val="22"/>
        </w:rPr>
        <w:t>12.201</w:t>
      </w:r>
      <w:r w:rsidR="00CC2333" w:rsidRPr="00CC2333">
        <w:rPr>
          <w:rFonts w:cs="Arial"/>
          <w:szCs w:val="22"/>
        </w:rPr>
        <w:t>8</w:t>
      </w:r>
      <w:r w:rsidR="00D97357" w:rsidRPr="00CC2333">
        <w:rPr>
          <w:rFonts w:cs="Arial"/>
          <w:szCs w:val="22"/>
        </w:rPr>
        <w:t xml:space="preserve">, TOP </w:t>
      </w:r>
      <w:r w:rsidR="00CC2333" w:rsidRPr="00CC2333">
        <w:rPr>
          <w:rFonts w:cs="Arial"/>
          <w:szCs w:val="22"/>
        </w:rPr>
        <w:t>5</w:t>
      </w:r>
      <w:r w:rsidR="00D97357" w:rsidRPr="00CC2333">
        <w:rPr>
          <w:rFonts w:cs="Arial"/>
          <w:szCs w:val="22"/>
        </w:rPr>
        <w:t xml:space="preserve"> öffentlich; GR </w:t>
      </w:r>
      <w:r w:rsidR="00CC2333" w:rsidRPr="00CC2333">
        <w:rPr>
          <w:rFonts w:cs="Arial"/>
          <w:szCs w:val="22"/>
        </w:rPr>
        <w:t>18</w:t>
      </w:r>
      <w:r w:rsidR="00D97357" w:rsidRPr="00CC2333">
        <w:rPr>
          <w:rFonts w:cs="Arial"/>
          <w:szCs w:val="22"/>
        </w:rPr>
        <w:t>.12.201</w:t>
      </w:r>
      <w:r w:rsidR="00CC2333" w:rsidRPr="00CC2333">
        <w:rPr>
          <w:rFonts w:cs="Arial"/>
          <w:szCs w:val="22"/>
        </w:rPr>
        <w:t>8</w:t>
      </w:r>
      <w:r w:rsidRPr="00CC2333">
        <w:rPr>
          <w:rFonts w:cs="Arial"/>
          <w:szCs w:val="22"/>
        </w:rPr>
        <w:t xml:space="preserve">, TOP </w:t>
      </w:r>
      <w:r w:rsidR="00CC2333" w:rsidRPr="00CC2333">
        <w:rPr>
          <w:rFonts w:cs="Arial"/>
          <w:szCs w:val="22"/>
        </w:rPr>
        <w:t>3</w:t>
      </w:r>
      <w:r w:rsidRPr="00CC2333">
        <w:rPr>
          <w:rFonts w:cs="Arial"/>
          <w:szCs w:val="22"/>
        </w:rPr>
        <w:t xml:space="preserve"> öffentlich) </w:t>
      </w:r>
    </w:p>
    <w:p w:rsidR="000873AB" w:rsidRPr="00CC2333" w:rsidRDefault="000873AB" w:rsidP="00D51873">
      <w:pPr>
        <w:rPr>
          <w:b/>
        </w:rPr>
      </w:pPr>
    </w:p>
    <w:p w:rsidR="00F35C66" w:rsidRPr="000355B4" w:rsidRDefault="00F35C66" w:rsidP="00D51873">
      <w:pPr>
        <w:rPr>
          <w:b/>
          <w:color w:val="FF0000"/>
        </w:rPr>
      </w:pPr>
    </w:p>
    <w:p w:rsidR="00D51873" w:rsidRPr="00CC2333" w:rsidRDefault="000873AB" w:rsidP="00D51873">
      <w:pPr>
        <w:rPr>
          <w:u w:val="single"/>
        </w:rPr>
      </w:pPr>
      <w:r w:rsidRPr="00CC2333">
        <w:rPr>
          <w:u w:val="single"/>
        </w:rPr>
        <w:t>I</w:t>
      </w:r>
      <w:r w:rsidR="00D51873" w:rsidRPr="00CC2333">
        <w:rPr>
          <w:u w:val="single"/>
        </w:rPr>
        <w:t>. Sachvortrag</w:t>
      </w:r>
    </w:p>
    <w:p w:rsidR="00D51873" w:rsidRPr="00CC2333" w:rsidRDefault="0095236B" w:rsidP="00D51873">
      <w:pPr>
        <w:jc w:val="both"/>
      </w:pPr>
      <w:r w:rsidRPr="00CC2333">
        <w:t>In seiner Klausurtagung legte der Gemeinderat zusammen mit der Verwaltung die Eckpunkte des Verwaltungs- und Vermögenshaushaltes 201</w:t>
      </w:r>
      <w:r w:rsidR="00CC2333" w:rsidRPr="00CC2333">
        <w:t>9</w:t>
      </w:r>
      <w:r w:rsidRPr="00CC2333">
        <w:t xml:space="preserve"> fest. </w:t>
      </w:r>
      <w:r w:rsidR="004F6501" w:rsidRPr="00CC2333">
        <w:t>I</w:t>
      </w:r>
      <w:r w:rsidR="007878DE" w:rsidRPr="00CC2333">
        <w:t xml:space="preserve">n </w:t>
      </w:r>
      <w:r w:rsidRPr="00CC2333">
        <w:t>seine</w:t>
      </w:r>
      <w:r w:rsidR="00F35C66" w:rsidRPr="00CC2333">
        <w:t>n</w:t>
      </w:r>
      <w:r w:rsidR="007878DE" w:rsidRPr="00CC2333">
        <w:t xml:space="preserve"> Sitzung</w:t>
      </w:r>
      <w:r w:rsidR="000873AB" w:rsidRPr="00CC2333">
        <w:t>en</w:t>
      </w:r>
      <w:r w:rsidRPr="00CC2333">
        <w:t xml:space="preserve"> </w:t>
      </w:r>
      <w:r w:rsidR="007878DE" w:rsidRPr="00CC2333">
        <w:t xml:space="preserve">vom </w:t>
      </w:r>
      <w:r w:rsidR="00837ACE" w:rsidRPr="00CC2333">
        <w:t>1</w:t>
      </w:r>
      <w:r w:rsidR="00CC2333" w:rsidRPr="00CC2333">
        <w:t>1</w:t>
      </w:r>
      <w:r w:rsidR="00837ACE" w:rsidRPr="00CC2333">
        <w:t>.</w:t>
      </w:r>
      <w:r w:rsidR="00AB0C01" w:rsidRPr="00CC2333">
        <w:t>12.201</w:t>
      </w:r>
      <w:r w:rsidR="00CC2333" w:rsidRPr="00CC2333">
        <w:t>8 und 18</w:t>
      </w:r>
      <w:r w:rsidR="000873AB" w:rsidRPr="00CC2333">
        <w:t>.</w:t>
      </w:r>
      <w:r w:rsidR="00837ACE" w:rsidRPr="00CC2333">
        <w:t>12.201</w:t>
      </w:r>
      <w:r w:rsidR="00CC2333" w:rsidRPr="00CC2333">
        <w:t>8</w:t>
      </w:r>
      <w:r w:rsidR="00AF2BE8" w:rsidRPr="00CC2333">
        <w:t xml:space="preserve"> </w:t>
      </w:r>
      <w:r w:rsidR="004F6501" w:rsidRPr="00CC2333">
        <w:t xml:space="preserve">hat der Gemeinderat </w:t>
      </w:r>
      <w:r w:rsidR="008D11F6" w:rsidRPr="00CC2333">
        <w:t xml:space="preserve">daraufhin </w:t>
      </w:r>
      <w:r w:rsidRPr="00CC2333">
        <w:t xml:space="preserve">den Entwurf des </w:t>
      </w:r>
      <w:r w:rsidR="000873AB" w:rsidRPr="00CC2333">
        <w:t xml:space="preserve">Verwaltungs- und </w:t>
      </w:r>
      <w:r w:rsidRPr="00CC2333">
        <w:t>Vermögenshaushalts berate</w:t>
      </w:r>
      <w:r w:rsidR="00F61E1D" w:rsidRPr="00CC2333">
        <w:t>n und beschlossen.</w:t>
      </w:r>
    </w:p>
    <w:p w:rsidR="0095236B" w:rsidRPr="000355B4" w:rsidRDefault="0095236B" w:rsidP="00D51873">
      <w:pPr>
        <w:jc w:val="both"/>
        <w:rPr>
          <w:color w:val="FF0000"/>
        </w:rPr>
      </w:pPr>
    </w:p>
    <w:p w:rsidR="000873AB" w:rsidRPr="00CC2333" w:rsidRDefault="00CC2333" w:rsidP="00D51873">
      <w:pPr>
        <w:jc w:val="both"/>
      </w:pPr>
      <w:r w:rsidRPr="00CC2333">
        <w:t xml:space="preserve">Gegenüber den Vorberatungen ergibt sich eine Änderung: Der Kreistag hat am 19.12.2018 mit knapper Mehrheit beschlossen, den Hebesatz für die Kreisumlage um 1,20 % auf 30,80 % zu senken. </w:t>
      </w:r>
      <w:r>
        <w:t>D</w:t>
      </w:r>
      <w:r w:rsidR="00834CEE">
        <w:t xml:space="preserve">ies führt zu einer Entlastung bei der Umlagezahlung in Höhe von </w:t>
      </w:r>
      <w:r>
        <w:t>49 T€</w:t>
      </w:r>
      <w:r w:rsidR="00834CEE">
        <w:t xml:space="preserve">. </w:t>
      </w:r>
      <w:r>
        <w:t xml:space="preserve">Um eine zusätzliche </w:t>
      </w:r>
      <w:r w:rsidR="006465EB">
        <w:t xml:space="preserve">notwendige </w:t>
      </w:r>
      <w:r>
        <w:t xml:space="preserve">Sicherheit </w:t>
      </w:r>
      <w:r w:rsidR="006465EB">
        <w:t xml:space="preserve">für unvorhersehbare Einnahmeausfälle oder Mehrausgaben im Planwerk </w:t>
      </w:r>
      <w:r>
        <w:t xml:space="preserve">zu </w:t>
      </w:r>
      <w:r w:rsidR="006465EB">
        <w:t>schaffen</w:t>
      </w:r>
      <w:r>
        <w:t xml:space="preserve">, wurde dieser Betrag als Puffer bei anderen Ausgabepositionen veranschlagt. </w:t>
      </w:r>
      <w:r w:rsidRPr="00CC2333">
        <w:t>Die</w:t>
      </w:r>
      <w:r w:rsidR="00F35C66" w:rsidRPr="00CC2333">
        <w:t xml:space="preserve"> Z</w:t>
      </w:r>
      <w:r w:rsidR="00FB7C29" w:rsidRPr="00CC2333">
        <w:t xml:space="preserve">uführungsrate </w:t>
      </w:r>
      <w:r w:rsidR="00930830" w:rsidRPr="00CC2333">
        <w:t xml:space="preserve">an den Vermögenshaushalt </w:t>
      </w:r>
      <w:r w:rsidR="005322D1">
        <w:t>beträgt daher</w:t>
      </w:r>
      <w:r w:rsidRPr="00CC2333">
        <w:t xml:space="preserve"> </w:t>
      </w:r>
      <w:r w:rsidR="00FB7C29" w:rsidRPr="00CC2333">
        <w:t xml:space="preserve">unverändert </w:t>
      </w:r>
      <w:r w:rsidRPr="00CC2333">
        <w:t>79</w:t>
      </w:r>
      <w:r w:rsidR="005F473C" w:rsidRPr="00CC2333">
        <w:t xml:space="preserve"> T</w:t>
      </w:r>
      <w:r w:rsidR="00F61E1D" w:rsidRPr="00CC2333">
        <w:t>€.</w:t>
      </w:r>
    </w:p>
    <w:p w:rsidR="000873AB" w:rsidRPr="000355B4" w:rsidRDefault="000873AB" w:rsidP="00D51873">
      <w:pPr>
        <w:jc w:val="both"/>
        <w:rPr>
          <w:color w:val="FF0000"/>
        </w:rPr>
      </w:pPr>
    </w:p>
    <w:p w:rsidR="005322D1" w:rsidRPr="00E152FA" w:rsidRDefault="005322D1" w:rsidP="005322D1">
      <w:pPr>
        <w:jc w:val="both"/>
        <w:rPr>
          <w:rFonts w:cs="Arial"/>
          <w:szCs w:val="22"/>
        </w:rPr>
      </w:pPr>
      <w:r w:rsidRPr="00E152FA">
        <w:rPr>
          <w:rFonts w:cs="Arial"/>
          <w:szCs w:val="22"/>
        </w:rPr>
        <w:t>Das Haushaltsjahr 201</w:t>
      </w:r>
      <w:r>
        <w:rPr>
          <w:rFonts w:cs="Arial"/>
          <w:szCs w:val="22"/>
        </w:rPr>
        <w:t>9</w:t>
      </w:r>
      <w:r w:rsidRPr="00E152FA">
        <w:rPr>
          <w:rFonts w:cs="Arial"/>
          <w:szCs w:val="22"/>
        </w:rPr>
        <w:t xml:space="preserve"> ist geprägt von Umlagezahlungen in Rekordhöhe im Rahmen des kommunalen Finanzausgleichs (FAG), </w:t>
      </w:r>
      <w:r>
        <w:rPr>
          <w:rFonts w:cs="Arial"/>
          <w:szCs w:val="22"/>
        </w:rPr>
        <w:t>sodass lediglich eine Zuführungsrate in Höhe der Mindesthöhe erwirtschaftet werden kann</w:t>
      </w:r>
      <w:r w:rsidRPr="00E152FA">
        <w:rPr>
          <w:rFonts w:cs="Arial"/>
          <w:szCs w:val="22"/>
        </w:rPr>
        <w:t>.</w:t>
      </w:r>
    </w:p>
    <w:p w:rsidR="005322D1" w:rsidRPr="00DD460C" w:rsidRDefault="005322D1" w:rsidP="005322D1">
      <w:pPr>
        <w:jc w:val="both"/>
        <w:rPr>
          <w:rFonts w:cs="Arial"/>
          <w:color w:val="FF0000"/>
          <w:szCs w:val="22"/>
        </w:rPr>
      </w:pPr>
    </w:p>
    <w:p w:rsidR="005322D1" w:rsidRDefault="005322D1" w:rsidP="005322D1">
      <w:pPr>
        <w:jc w:val="both"/>
        <w:rPr>
          <w:rFonts w:cs="Arial"/>
          <w:szCs w:val="22"/>
        </w:rPr>
      </w:pPr>
      <w:r w:rsidRPr="00E152FA">
        <w:rPr>
          <w:rFonts w:cs="Arial"/>
          <w:szCs w:val="22"/>
        </w:rPr>
        <w:t xml:space="preserve">Weil sich die Einnahmeseite weiterhin dynamisch entwickelt und bei beeinflussbaren Kostenstellen die Ausgaben sogar leicht reduziert werden konnten, erwirtschaftet der Verwaltungshaushalt </w:t>
      </w:r>
      <w:r>
        <w:rPr>
          <w:rFonts w:cs="Arial"/>
          <w:szCs w:val="22"/>
        </w:rPr>
        <w:t xml:space="preserve">trotz dieser ungünstigen Ausgangslage </w:t>
      </w:r>
      <w:r w:rsidRPr="00E152FA">
        <w:rPr>
          <w:rFonts w:cs="Arial"/>
          <w:szCs w:val="22"/>
        </w:rPr>
        <w:t xml:space="preserve">eine Zuführungsrate in Höhe von </w:t>
      </w:r>
      <w:r>
        <w:rPr>
          <w:rFonts w:cs="Arial"/>
          <w:szCs w:val="22"/>
        </w:rPr>
        <w:t>79</w:t>
      </w:r>
      <w:r w:rsidRPr="00E152FA">
        <w:rPr>
          <w:rFonts w:cs="Arial"/>
          <w:szCs w:val="22"/>
        </w:rPr>
        <w:t xml:space="preserve"> T€. </w:t>
      </w:r>
    </w:p>
    <w:p w:rsidR="005322D1" w:rsidRDefault="005322D1" w:rsidP="005322D1">
      <w:pPr>
        <w:jc w:val="both"/>
        <w:rPr>
          <w:rFonts w:cs="Arial"/>
          <w:szCs w:val="22"/>
        </w:rPr>
      </w:pPr>
    </w:p>
    <w:p w:rsidR="005322D1" w:rsidRPr="00E152FA" w:rsidRDefault="005322D1" w:rsidP="005322D1">
      <w:pPr>
        <w:jc w:val="both"/>
        <w:rPr>
          <w:rFonts w:cs="Arial"/>
          <w:szCs w:val="22"/>
        </w:rPr>
      </w:pPr>
      <w:r w:rsidRPr="00E152FA">
        <w:rPr>
          <w:rFonts w:cs="Arial"/>
          <w:szCs w:val="22"/>
        </w:rPr>
        <w:t xml:space="preserve">Insgesamt nehmen die zahlungswirksamen Einnahmen um </w:t>
      </w:r>
      <w:r>
        <w:rPr>
          <w:rFonts w:cs="Arial"/>
          <w:szCs w:val="22"/>
        </w:rPr>
        <w:t>55</w:t>
      </w:r>
      <w:r w:rsidRPr="00E152FA">
        <w:rPr>
          <w:rFonts w:cs="Arial"/>
          <w:szCs w:val="22"/>
        </w:rPr>
        <w:t xml:space="preserve"> T€ zu, die zahlungswirksamen Ausgaben um </w:t>
      </w:r>
      <w:r>
        <w:rPr>
          <w:rFonts w:cs="Arial"/>
          <w:szCs w:val="22"/>
        </w:rPr>
        <w:t>476 T€, wobei diese nahezu ausschließlich auf die höhere Kreis- (+224 T€) und FAG-Umlagezahlung (+221 T€) zurückzuführen ist. I</w:t>
      </w:r>
      <w:r w:rsidRPr="00E152FA">
        <w:rPr>
          <w:rFonts w:cs="Arial"/>
          <w:szCs w:val="22"/>
        </w:rPr>
        <w:t xml:space="preserve">n der Summe </w:t>
      </w:r>
      <w:r>
        <w:rPr>
          <w:rFonts w:cs="Arial"/>
          <w:szCs w:val="22"/>
        </w:rPr>
        <w:t xml:space="preserve">geht dadurch </w:t>
      </w:r>
      <w:r w:rsidRPr="00E152FA">
        <w:rPr>
          <w:rFonts w:cs="Arial"/>
          <w:szCs w:val="22"/>
        </w:rPr>
        <w:t xml:space="preserve">die Zuführungsrate an dem Vermögenshaushalt um </w:t>
      </w:r>
      <w:r>
        <w:rPr>
          <w:rFonts w:cs="Arial"/>
          <w:szCs w:val="22"/>
        </w:rPr>
        <w:t>421</w:t>
      </w:r>
      <w:r w:rsidRPr="00E152FA">
        <w:rPr>
          <w:rFonts w:cs="Arial"/>
          <w:szCs w:val="22"/>
        </w:rPr>
        <w:t xml:space="preserve"> T€ auf</w:t>
      </w:r>
      <w:r>
        <w:rPr>
          <w:rFonts w:cs="Arial"/>
          <w:szCs w:val="22"/>
        </w:rPr>
        <w:t xml:space="preserve"> 79</w:t>
      </w:r>
      <w:r w:rsidRPr="00E152FA">
        <w:rPr>
          <w:rFonts w:cs="Arial"/>
          <w:szCs w:val="22"/>
        </w:rPr>
        <w:t xml:space="preserve"> T€</w:t>
      </w:r>
      <w:r>
        <w:rPr>
          <w:rFonts w:cs="Arial"/>
          <w:szCs w:val="22"/>
        </w:rPr>
        <w:t xml:space="preserve"> zurück</w:t>
      </w:r>
      <w:r w:rsidRPr="00E152FA">
        <w:rPr>
          <w:rFonts w:cs="Arial"/>
          <w:szCs w:val="22"/>
        </w:rPr>
        <w:t xml:space="preserve">.  </w:t>
      </w:r>
    </w:p>
    <w:p w:rsidR="00F35C66" w:rsidRPr="000355B4" w:rsidRDefault="00F35C66" w:rsidP="006A2532">
      <w:pPr>
        <w:jc w:val="both"/>
        <w:rPr>
          <w:color w:val="FF0000"/>
        </w:rPr>
      </w:pPr>
    </w:p>
    <w:p w:rsidR="006A2532" w:rsidRDefault="008D11F6" w:rsidP="006A2532">
      <w:pPr>
        <w:jc w:val="both"/>
        <w:rPr>
          <w:rFonts w:cs="Arial"/>
          <w:szCs w:val="22"/>
        </w:rPr>
      </w:pPr>
      <w:r w:rsidRPr="005322D1">
        <w:rPr>
          <w:rFonts w:cs="Arial"/>
          <w:szCs w:val="22"/>
        </w:rPr>
        <w:t>Die Gebühren und</w:t>
      </w:r>
      <w:r w:rsidR="00F61E1D" w:rsidRPr="005322D1">
        <w:rPr>
          <w:rFonts w:cs="Arial"/>
          <w:szCs w:val="22"/>
        </w:rPr>
        <w:t xml:space="preserve"> Hebesätze bleiben unverändert.</w:t>
      </w:r>
      <w:r w:rsidR="005B4094" w:rsidRPr="005322D1">
        <w:rPr>
          <w:rFonts w:cs="Arial"/>
          <w:szCs w:val="22"/>
        </w:rPr>
        <w:t xml:space="preserve"> </w:t>
      </w:r>
    </w:p>
    <w:p w:rsidR="005322D1" w:rsidRPr="000355B4" w:rsidRDefault="005322D1" w:rsidP="006A2532">
      <w:pPr>
        <w:jc w:val="both"/>
        <w:rPr>
          <w:rFonts w:cs="Arial"/>
          <w:color w:val="FF0000"/>
          <w:szCs w:val="22"/>
        </w:rPr>
      </w:pPr>
    </w:p>
    <w:p w:rsidR="002469A7" w:rsidRDefault="006A2532" w:rsidP="005322D1">
      <w:pPr>
        <w:jc w:val="both"/>
      </w:pPr>
      <w:r w:rsidRPr="005322D1">
        <w:rPr>
          <w:rFonts w:cs="Arial"/>
          <w:szCs w:val="22"/>
        </w:rPr>
        <w:t>Die Investitionen wurden wie vom Gemeinderat festgelegt im Planwerk berücksichtigt.</w:t>
      </w:r>
      <w:r w:rsidR="002469A7" w:rsidRPr="005322D1">
        <w:rPr>
          <w:rFonts w:cs="Arial"/>
          <w:szCs w:val="22"/>
        </w:rPr>
        <w:t xml:space="preserve"> </w:t>
      </w:r>
      <w:r w:rsidR="005322D1" w:rsidRPr="005322D1">
        <w:rPr>
          <w:rFonts w:cs="Arial"/>
          <w:szCs w:val="22"/>
        </w:rPr>
        <w:t>Sie</w:t>
      </w:r>
      <w:r w:rsidR="005322D1">
        <w:rPr>
          <w:rFonts w:cs="Arial"/>
          <w:color w:val="FF0000"/>
          <w:szCs w:val="22"/>
        </w:rPr>
        <w:t xml:space="preserve"> </w:t>
      </w:r>
      <w:r w:rsidR="005322D1">
        <w:t xml:space="preserve">erreichen ein Gesamtvolumen von 3,794 Mio. € und nahezu die Rekordhöhe von 4,198 Mio. € aus dem Vorjahr. </w:t>
      </w:r>
    </w:p>
    <w:p w:rsidR="005322D1" w:rsidRPr="000355B4" w:rsidRDefault="005322D1" w:rsidP="005322D1">
      <w:pPr>
        <w:jc w:val="both"/>
        <w:rPr>
          <w:color w:val="FF0000"/>
        </w:rPr>
      </w:pPr>
    </w:p>
    <w:p w:rsidR="005322D1" w:rsidRDefault="005322D1" w:rsidP="005322D1">
      <w:pPr>
        <w:jc w:val="both"/>
      </w:pPr>
      <w:r>
        <w:t xml:space="preserve">Die Deckung der geplanten Investitionen wird gewährleistet über die Rückzahlung eines Trägerdarlehens (12.000 €), insbesondere aber über eine kräftige Rücklagenentnahme (986.400 €), über Zuschüsse (1.222.300 €) sowie Vermögensveräußerungen (1.080.000 €) und den daraus entstehenden Beiträgen (414.000 €). Auf eine Kreditaufnahme kann erneut verzichtet werden. </w:t>
      </w:r>
    </w:p>
    <w:p w:rsidR="004C0F50" w:rsidRDefault="004C0F50" w:rsidP="006A2532">
      <w:pPr>
        <w:jc w:val="both"/>
        <w:rPr>
          <w:rFonts w:cs="Arial"/>
          <w:szCs w:val="22"/>
        </w:rPr>
      </w:pPr>
    </w:p>
    <w:p w:rsidR="008D11F6" w:rsidRDefault="005322D1" w:rsidP="006A2532">
      <w:pPr>
        <w:jc w:val="both"/>
        <w:rPr>
          <w:rFonts w:cs="Arial"/>
          <w:szCs w:val="22"/>
        </w:rPr>
      </w:pPr>
      <w:r w:rsidRPr="00AA5301">
        <w:rPr>
          <w:rFonts w:cs="Arial"/>
          <w:szCs w:val="22"/>
        </w:rPr>
        <w:t>Der Schwerpunkt der Investition</w:t>
      </w:r>
      <w:r>
        <w:rPr>
          <w:rFonts w:cs="Arial"/>
          <w:szCs w:val="22"/>
        </w:rPr>
        <w:t xml:space="preserve">en </w:t>
      </w:r>
      <w:r w:rsidRPr="00AA5301">
        <w:rPr>
          <w:rFonts w:cs="Arial"/>
          <w:szCs w:val="22"/>
        </w:rPr>
        <w:t>liegt auf den dringend erforderlichen Hochwasserschutzmaßnahmen in Frickingen</w:t>
      </w:r>
      <w:r>
        <w:rPr>
          <w:rFonts w:cs="Arial"/>
          <w:szCs w:val="22"/>
        </w:rPr>
        <w:t xml:space="preserve"> (1,6 Mio. €)</w:t>
      </w:r>
      <w:r w:rsidRPr="00AA5301">
        <w:rPr>
          <w:rFonts w:cs="Arial"/>
          <w:szCs w:val="22"/>
        </w:rPr>
        <w:t>, dem Grunderwerb für die weitere gewerbliche Entwicklung</w:t>
      </w:r>
      <w:r>
        <w:rPr>
          <w:rFonts w:cs="Arial"/>
          <w:szCs w:val="22"/>
        </w:rPr>
        <w:t xml:space="preserve"> (470 T€) sowie der Neugestaltung der Ortseingänge Frickingen und </w:t>
      </w:r>
      <w:r>
        <w:rPr>
          <w:rFonts w:cs="Arial"/>
          <w:szCs w:val="22"/>
        </w:rPr>
        <w:lastRenderedPageBreak/>
        <w:t xml:space="preserve">Leustetten (290 T€) im Zusammenhang mit der Sanierung der Kreisstraße 7785 durch das Landratsamt Bodenseekreis.   </w:t>
      </w:r>
    </w:p>
    <w:p w:rsidR="005322D1" w:rsidRPr="000355B4" w:rsidRDefault="005322D1" w:rsidP="006A2532">
      <w:pPr>
        <w:jc w:val="both"/>
        <w:rPr>
          <w:rFonts w:cs="Arial"/>
          <w:color w:val="FF0000"/>
          <w:szCs w:val="22"/>
        </w:rPr>
      </w:pPr>
    </w:p>
    <w:p w:rsidR="00F35C66" w:rsidRPr="00721813" w:rsidRDefault="00F35C66" w:rsidP="00F35C66">
      <w:pPr>
        <w:jc w:val="both"/>
        <w:rPr>
          <w:rFonts w:cs="Arial"/>
          <w:szCs w:val="22"/>
        </w:rPr>
      </w:pPr>
      <w:r w:rsidRPr="00721813">
        <w:rPr>
          <w:rFonts w:cs="Arial"/>
          <w:szCs w:val="22"/>
        </w:rPr>
        <w:t>Zum jetzigen Zeitpunkt darf man festhalten, dass wir optimistisch ins neue Haushaltsjahr 201</w:t>
      </w:r>
      <w:r w:rsidR="00721813" w:rsidRPr="00721813">
        <w:rPr>
          <w:rFonts w:cs="Arial"/>
          <w:szCs w:val="22"/>
        </w:rPr>
        <w:t>9</w:t>
      </w:r>
      <w:r w:rsidRPr="00721813">
        <w:rPr>
          <w:rFonts w:cs="Arial"/>
          <w:szCs w:val="22"/>
        </w:rPr>
        <w:t xml:space="preserve"> schauen können.</w:t>
      </w:r>
    </w:p>
    <w:p w:rsidR="006A2532" w:rsidRPr="000355B4" w:rsidRDefault="006A2532" w:rsidP="006A2532">
      <w:pPr>
        <w:jc w:val="both"/>
        <w:rPr>
          <w:rFonts w:cs="Arial"/>
          <w:color w:val="FF0000"/>
          <w:szCs w:val="22"/>
        </w:rPr>
      </w:pPr>
    </w:p>
    <w:p w:rsidR="00613FD1" w:rsidRPr="005322D1" w:rsidRDefault="00613FD1" w:rsidP="006A2532">
      <w:pPr>
        <w:jc w:val="both"/>
        <w:rPr>
          <w:rFonts w:cs="Arial"/>
          <w:szCs w:val="22"/>
        </w:rPr>
      </w:pPr>
      <w:r w:rsidRPr="00721813">
        <w:rPr>
          <w:rFonts w:cs="Arial"/>
          <w:szCs w:val="22"/>
        </w:rPr>
        <w:t>Auch die mittelfristigen Finanz- und</w:t>
      </w:r>
      <w:r w:rsidR="000F098D" w:rsidRPr="00721813">
        <w:rPr>
          <w:rFonts w:cs="Arial"/>
          <w:szCs w:val="22"/>
        </w:rPr>
        <w:t xml:space="preserve"> Investitionsplanung (Seiten 15</w:t>
      </w:r>
      <w:r w:rsidR="00721813" w:rsidRPr="00721813">
        <w:rPr>
          <w:rFonts w:cs="Arial"/>
          <w:szCs w:val="22"/>
        </w:rPr>
        <w:t>5</w:t>
      </w:r>
      <w:r w:rsidR="000F098D" w:rsidRPr="00721813">
        <w:rPr>
          <w:rFonts w:cs="Arial"/>
          <w:szCs w:val="22"/>
        </w:rPr>
        <w:t xml:space="preserve"> – 16</w:t>
      </w:r>
      <w:r w:rsidR="00721813" w:rsidRPr="00721813">
        <w:rPr>
          <w:rFonts w:cs="Arial"/>
          <w:szCs w:val="22"/>
        </w:rPr>
        <w:t>4</w:t>
      </w:r>
      <w:r w:rsidRPr="00721813">
        <w:rPr>
          <w:rFonts w:cs="Arial"/>
          <w:szCs w:val="22"/>
        </w:rPr>
        <w:t>) zeig</w:t>
      </w:r>
      <w:r w:rsidR="007417BA" w:rsidRPr="00721813">
        <w:rPr>
          <w:rFonts w:cs="Arial"/>
          <w:szCs w:val="22"/>
        </w:rPr>
        <w:t>t</w:t>
      </w:r>
      <w:r w:rsidRPr="00721813">
        <w:rPr>
          <w:rFonts w:cs="Arial"/>
          <w:szCs w:val="22"/>
        </w:rPr>
        <w:t xml:space="preserve"> eine erfreuliche Entwicklung auf</w:t>
      </w:r>
      <w:r w:rsidRPr="005322D1">
        <w:rPr>
          <w:rFonts w:cs="Arial"/>
          <w:szCs w:val="22"/>
        </w:rPr>
        <w:t xml:space="preserve">. In den </w:t>
      </w:r>
      <w:r w:rsidR="00E41E9A" w:rsidRPr="005322D1">
        <w:t xml:space="preserve">Jahren </w:t>
      </w:r>
      <w:r w:rsidR="005322D1" w:rsidRPr="005322D1">
        <w:t>2020</w:t>
      </w:r>
      <w:r w:rsidR="000F098D" w:rsidRPr="005322D1">
        <w:t xml:space="preserve"> bis 202</w:t>
      </w:r>
      <w:r w:rsidR="005322D1" w:rsidRPr="005322D1">
        <w:t xml:space="preserve">2 </w:t>
      </w:r>
      <w:r w:rsidRPr="005322D1">
        <w:t xml:space="preserve">sind neue Investitionen in Höhe von insgesamt </w:t>
      </w:r>
      <w:r w:rsidR="005322D1" w:rsidRPr="005322D1">
        <w:t>7</w:t>
      </w:r>
      <w:r w:rsidR="00E41E9A" w:rsidRPr="005322D1">
        <w:t>,95</w:t>
      </w:r>
      <w:r w:rsidR="005322D1" w:rsidRPr="005322D1">
        <w:t xml:space="preserve"> Mio. € vorgesehen. Zur Finanzierung des Grundschulneubaus wurde neben Zuweisungen und Zuschüssen und </w:t>
      </w:r>
      <w:r w:rsidR="005322D1">
        <w:t xml:space="preserve">Eigenmitteln </w:t>
      </w:r>
      <w:r w:rsidR="005322D1" w:rsidRPr="005322D1">
        <w:t xml:space="preserve">auch eine Darlehensaufnahme </w:t>
      </w:r>
      <w:r w:rsidR="006465EB">
        <w:t xml:space="preserve">von </w:t>
      </w:r>
      <w:r w:rsidR="005322D1" w:rsidRPr="005322D1">
        <w:t>1,6 Mio. € eingeplant</w:t>
      </w:r>
      <w:r w:rsidRPr="005322D1">
        <w:t>.</w:t>
      </w:r>
    </w:p>
    <w:p w:rsidR="00613FD1" w:rsidRPr="005322D1" w:rsidRDefault="00613FD1" w:rsidP="006A2532">
      <w:pPr>
        <w:jc w:val="both"/>
        <w:rPr>
          <w:rFonts w:cs="Arial"/>
          <w:szCs w:val="22"/>
        </w:rPr>
      </w:pPr>
    </w:p>
    <w:p w:rsidR="006A2532" w:rsidRPr="000F098D" w:rsidRDefault="006A2532" w:rsidP="006A2532">
      <w:pPr>
        <w:jc w:val="both"/>
        <w:rPr>
          <w:b/>
        </w:rPr>
      </w:pPr>
      <w:r w:rsidRPr="000F098D">
        <w:rPr>
          <w:b/>
        </w:rPr>
        <w:t xml:space="preserve">Die Fakten, Zahlen und Tendenzen des Haushalts und der Finanzplanung sind im beiliegenden Vorbericht </w:t>
      </w:r>
      <w:r w:rsidR="001471EC" w:rsidRPr="000F098D">
        <w:rPr>
          <w:b/>
        </w:rPr>
        <w:t xml:space="preserve">ausführlich </w:t>
      </w:r>
      <w:r w:rsidRPr="000F098D">
        <w:rPr>
          <w:b/>
        </w:rPr>
        <w:t>erläutert.</w:t>
      </w:r>
    </w:p>
    <w:p w:rsidR="00F35C66" w:rsidRDefault="00F35C66" w:rsidP="006A2532">
      <w:pPr>
        <w:jc w:val="both"/>
      </w:pPr>
    </w:p>
    <w:p w:rsidR="004C0F50" w:rsidRPr="000F098D" w:rsidRDefault="004C0F50" w:rsidP="006A2532">
      <w:pPr>
        <w:jc w:val="both"/>
      </w:pPr>
    </w:p>
    <w:p w:rsidR="00D51873" w:rsidRPr="000F098D" w:rsidRDefault="00D51873" w:rsidP="00D51873">
      <w:pPr>
        <w:pStyle w:val="berschrift1"/>
        <w:tabs>
          <w:tab w:val="decimal" w:pos="7939"/>
        </w:tabs>
      </w:pPr>
      <w:r w:rsidRPr="000F098D">
        <w:t>Der Haushaltsplan wird festgesetzt mit</w:t>
      </w:r>
    </w:p>
    <w:p w:rsidR="00D51873" w:rsidRPr="000F098D" w:rsidRDefault="00D51873" w:rsidP="00D51873">
      <w:pPr>
        <w:tabs>
          <w:tab w:val="decimal" w:pos="7939"/>
        </w:tabs>
        <w:rPr>
          <w:sz w:val="16"/>
        </w:rPr>
      </w:pPr>
    </w:p>
    <w:p w:rsidR="00D51873" w:rsidRPr="000F098D" w:rsidRDefault="00D51873" w:rsidP="00D51873">
      <w:pPr>
        <w:tabs>
          <w:tab w:val="left" w:pos="7939"/>
        </w:tabs>
        <w:jc w:val="center"/>
        <w:rPr>
          <w:b/>
        </w:rPr>
      </w:pPr>
      <w:r w:rsidRPr="000F098D">
        <w:rPr>
          <w:b/>
        </w:rPr>
        <w:t>§ 1</w:t>
      </w:r>
    </w:p>
    <w:p w:rsidR="00234499" w:rsidRPr="000F098D" w:rsidRDefault="00234499" w:rsidP="00D51873">
      <w:pPr>
        <w:tabs>
          <w:tab w:val="left" w:pos="7939"/>
        </w:tabs>
        <w:jc w:val="center"/>
        <w:rPr>
          <w:b/>
          <w:sz w:val="8"/>
        </w:rPr>
      </w:pPr>
    </w:p>
    <w:p w:rsidR="00D51873" w:rsidRPr="000F098D" w:rsidRDefault="00D51873" w:rsidP="000F0D76">
      <w:pPr>
        <w:tabs>
          <w:tab w:val="left" w:pos="7939"/>
        </w:tabs>
        <w:rPr>
          <w:b/>
        </w:rPr>
      </w:pPr>
      <w:r w:rsidRPr="000F098D">
        <w:t xml:space="preserve">1. den Einnahmen und Ausgaben </w:t>
      </w:r>
      <w:r w:rsidR="000F0D76" w:rsidRPr="000F098D">
        <w:t xml:space="preserve">von je                                                 </w:t>
      </w:r>
      <w:r w:rsidR="000F098D" w:rsidRPr="000F098D">
        <w:t>1</w:t>
      </w:r>
      <w:r w:rsidR="00A15E7B">
        <w:t>1</w:t>
      </w:r>
      <w:r w:rsidR="000F098D" w:rsidRPr="000F098D">
        <w:t>.</w:t>
      </w:r>
      <w:r w:rsidR="000355B4">
        <w:t>058</w:t>
      </w:r>
      <w:r w:rsidR="000F098D" w:rsidRPr="000F098D">
        <w:t>.</w:t>
      </w:r>
      <w:r w:rsidR="000355B4">
        <w:t>0</w:t>
      </w:r>
      <w:r w:rsidR="000F098D" w:rsidRPr="000F098D">
        <w:t>00</w:t>
      </w:r>
      <w:r w:rsidR="003B2B06" w:rsidRPr="000F098D">
        <w:t xml:space="preserve"> </w:t>
      </w:r>
      <w:r w:rsidRPr="000F098D">
        <w:t>Euro</w:t>
      </w:r>
    </w:p>
    <w:p w:rsidR="00D51873" w:rsidRPr="000F098D" w:rsidRDefault="00D51873" w:rsidP="00D51873">
      <w:pPr>
        <w:tabs>
          <w:tab w:val="left" w:pos="4537"/>
          <w:tab w:val="left" w:pos="7372"/>
        </w:tabs>
        <w:spacing w:line="360" w:lineRule="atLeast"/>
      </w:pPr>
      <w:r w:rsidRPr="000F098D">
        <w:t xml:space="preserve">    davon:</w:t>
      </w:r>
    </w:p>
    <w:p w:rsidR="00D51873" w:rsidRPr="000F098D" w:rsidRDefault="00D51873" w:rsidP="00D51873">
      <w:pPr>
        <w:tabs>
          <w:tab w:val="left" w:pos="5104"/>
          <w:tab w:val="left" w:pos="7372"/>
        </w:tabs>
      </w:pPr>
      <w:r w:rsidRPr="000F098D">
        <w:t xml:space="preserve">    im Verwaltungshaushalt</w:t>
      </w:r>
      <w:r w:rsidRPr="000F098D">
        <w:tab/>
      </w:r>
      <w:r w:rsidR="00A15E7B">
        <w:t>7</w:t>
      </w:r>
      <w:r w:rsidR="000F098D" w:rsidRPr="000F098D">
        <w:t>.</w:t>
      </w:r>
      <w:r w:rsidR="000355B4">
        <w:t>264</w:t>
      </w:r>
      <w:r w:rsidR="000F098D" w:rsidRPr="000F098D">
        <w:t>.</w:t>
      </w:r>
      <w:r w:rsidR="000355B4">
        <w:t>3</w:t>
      </w:r>
      <w:r w:rsidR="000F098D" w:rsidRPr="000F098D">
        <w:t>00</w:t>
      </w:r>
      <w:r w:rsidRPr="000F098D">
        <w:t xml:space="preserve"> Euro</w:t>
      </w:r>
    </w:p>
    <w:p w:rsidR="00D51873" w:rsidRPr="000F098D" w:rsidRDefault="00D51873" w:rsidP="00D51873">
      <w:pPr>
        <w:tabs>
          <w:tab w:val="left" w:pos="5104"/>
          <w:tab w:val="left" w:pos="7372"/>
        </w:tabs>
      </w:pPr>
      <w:r w:rsidRPr="000F098D">
        <w:t xml:space="preserve">    im Vermögenshaushalt</w:t>
      </w:r>
      <w:r w:rsidRPr="000F098D">
        <w:tab/>
      </w:r>
      <w:r w:rsidR="000355B4">
        <w:t>3</w:t>
      </w:r>
      <w:r w:rsidR="000F098D" w:rsidRPr="000F098D">
        <w:t>.</w:t>
      </w:r>
      <w:r w:rsidR="000355B4">
        <w:t>793</w:t>
      </w:r>
      <w:r w:rsidR="000F098D" w:rsidRPr="000F098D">
        <w:t>.</w:t>
      </w:r>
      <w:r w:rsidR="000355B4">
        <w:t>7</w:t>
      </w:r>
      <w:r w:rsidR="000F098D" w:rsidRPr="000F098D">
        <w:t>00</w:t>
      </w:r>
      <w:r w:rsidRPr="000F098D">
        <w:t xml:space="preserve"> Euro</w:t>
      </w:r>
    </w:p>
    <w:p w:rsidR="00D51873" w:rsidRPr="000F098D" w:rsidRDefault="00D51873" w:rsidP="00D51873">
      <w:pPr>
        <w:tabs>
          <w:tab w:val="left" w:pos="4537"/>
          <w:tab w:val="left" w:pos="7372"/>
        </w:tabs>
      </w:pPr>
    </w:p>
    <w:p w:rsidR="00D51873" w:rsidRPr="000F098D" w:rsidRDefault="00D51873" w:rsidP="00D51873">
      <w:pPr>
        <w:tabs>
          <w:tab w:val="decimal" w:pos="7938"/>
        </w:tabs>
      </w:pPr>
      <w:r w:rsidRPr="000F098D">
        <w:t>2. dem Gesamtbetrag der vorgesehenen Kreditaufnahme für</w:t>
      </w:r>
    </w:p>
    <w:p w:rsidR="00D51873" w:rsidRPr="000F098D" w:rsidRDefault="00D51873" w:rsidP="00D51873">
      <w:pPr>
        <w:tabs>
          <w:tab w:val="decimal" w:pos="7938"/>
        </w:tabs>
      </w:pPr>
      <w:r w:rsidRPr="000F098D">
        <w:t xml:space="preserve">    Investitionen und Investitionsförderungsmaßnahmen</w:t>
      </w:r>
      <w:r w:rsidRPr="000F098D">
        <w:tab/>
      </w:r>
      <w:r w:rsidR="007417BA" w:rsidRPr="000F098D">
        <w:t xml:space="preserve">    </w:t>
      </w:r>
      <w:r w:rsidRPr="000F098D">
        <w:t xml:space="preserve"> </w:t>
      </w:r>
      <w:r w:rsidR="007417BA" w:rsidRPr="000F098D">
        <w:t xml:space="preserve"> </w:t>
      </w:r>
      <w:r w:rsidR="00613FD1" w:rsidRPr="000F098D">
        <w:t>0</w:t>
      </w:r>
      <w:r w:rsidR="000A0934" w:rsidRPr="000F098D">
        <w:t xml:space="preserve"> </w:t>
      </w:r>
      <w:r w:rsidRPr="000F098D">
        <w:t>Euro</w:t>
      </w:r>
    </w:p>
    <w:p w:rsidR="00D51873" w:rsidRPr="000F098D" w:rsidRDefault="00D51873" w:rsidP="00D51873">
      <w:pPr>
        <w:tabs>
          <w:tab w:val="decimal" w:pos="7938"/>
        </w:tabs>
        <w:rPr>
          <w:sz w:val="10"/>
          <w:szCs w:val="10"/>
        </w:rPr>
      </w:pPr>
    </w:p>
    <w:p w:rsidR="00D51873" w:rsidRPr="005B4094" w:rsidRDefault="00D51873" w:rsidP="00D51873">
      <w:pPr>
        <w:tabs>
          <w:tab w:val="decimal" w:pos="7938"/>
        </w:tabs>
      </w:pPr>
      <w:r w:rsidRPr="000F098D">
        <w:t>3. dem Gesamtbetrag der V</w:t>
      </w:r>
      <w:r w:rsidR="007417BA" w:rsidRPr="000F098D">
        <w:t>erpflichtungsermächtigungen von</w:t>
      </w:r>
      <w:r w:rsidR="007417BA" w:rsidRPr="00AB0C01">
        <w:rPr>
          <w:color w:val="FF0000"/>
        </w:rPr>
        <w:tab/>
      </w:r>
      <w:r w:rsidRPr="005B4094">
        <w:t>0 Euro</w:t>
      </w:r>
    </w:p>
    <w:p w:rsidR="00D51873" w:rsidRPr="000F098D" w:rsidRDefault="00D51873" w:rsidP="00D51873">
      <w:pPr>
        <w:tabs>
          <w:tab w:val="decimal" w:pos="7938"/>
        </w:tabs>
      </w:pPr>
    </w:p>
    <w:p w:rsidR="00D51873" w:rsidRPr="000F098D" w:rsidRDefault="00D51873" w:rsidP="00D51873">
      <w:pPr>
        <w:tabs>
          <w:tab w:val="decimal" w:pos="7938"/>
        </w:tabs>
        <w:jc w:val="center"/>
        <w:rPr>
          <w:b/>
        </w:rPr>
      </w:pPr>
      <w:r w:rsidRPr="000F098D">
        <w:rPr>
          <w:b/>
        </w:rPr>
        <w:t>§ 2</w:t>
      </w:r>
    </w:p>
    <w:p w:rsidR="00234499" w:rsidRPr="000F098D" w:rsidRDefault="00234499" w:rsidP="00D51873">
      <w:pPr>
        <w:tabs>
          <w:tab w:val="decimal" w:pos="7938"/>
        </w:tabs>
        <w:jc w:val="center"/>
        <w:rPr>
          <w:sz w:val="8"/>
        </w:rPr>
      </w:pPr>
    </w:p>
    <w:p w:rsidR="00D51873" w:rsidRPr="005B4094" w:rsidRDefault="00D51873" w:rsidP="00D51873">
      <w:pPr>
        <w:tabs>
          <w:tab w:val="decimal" w:pos="7938"/>
        </w:tabs>
      </w:pPr>
      <w:r w:rsidRPr="000F098D">
        <w:t>Der Höchstbetrag der Kassenk</w:t>
      </w:r>
      <w:r w:rsidR="00AF2BE8" w:rsidRPr="000F098D">
        <w:t>redite wird festgesetzt auf</w:t>
      </w:r>
      <w:r w:rsidR="00AF2BE8" w:rsidRPr="00AB0C01">
        <w:rPr>
          <w:color w:val="FF0000"/>
        </w:rPr>
        <w:tab/>
      </w:r>
      <w:r w:rsidR="00AF2BE8" w:rsidRPr="007D44F0">
        <w:rPr>
          <w:color w:val="FF0000"/>
        </w:rPr>
        <w:t xml:space="preserve">  </w:t>
      </w:r>
      <w:r w:rsidR="005B4094" w:rsidRPr="005B4094">
        <w:t>1.200</w:t>
      </w:r>
      <w:r w:rsidRPr="005B4094">
        <w:t>.000 Euro</w:t>
      </w:r>
    </w:p>
    <w:p w:rsidR="00D51873" w:rsidRPr="000F098D" w:rsidRDefault="00D51873" w:rsidP="00D51873">
      <w:pPr>
        <w:tabs>
          <w:tab w:val="decimal" w:pos="7938"/>
        </w:tabs>
      </w:pPr>
      <w:r w:rsidRPr="000F098D">
        <w:tab/>
      </w:r>
    </w:p>
    <w:p w:rsidR="00D51873" w:rsidRPr="000F098D" w:rsidRDefault="00D51873" w:rsidP="00D51873">
      <w:pPr>
        <w:tabs>
          <w:tab w:val="decimal" w:pos="7938"/>
        </w:tabs>
        <w:jc w:val="center"/>
        <w:rPr>
          <w:b/>
        </w:rPr>
      </w:pPr>
      <w:r w:rsidRPr="000F098D">
        <w:rPr>
          <w:b/>
        </w:rPr>
        <w:t>§ 3</w:t>
      </w:r>
    </w:p>
    <w:p w:rsidR="00234499" w:rsidRPr="000F098D" w:rsidRDefault="00234499" w:rsidP="00D51873">
      <w:pPr>
        <w:tabs>
          <w:tab w:val="decimal" w:pos="7938"/>
        </w:tabs>
        <w:jc w:val="center"/>
        <w:rPr>
          <w:b/>
          <w:sz w:val="8"/>
        </w:rPr>
      </w:pPr>
    </w:p>
    <w:p w:rsidR="00D51873" w:rsidRPr="000F098D" w:rsidRDefault="00D51873" w:rsidP="00D51873">
      <w:pPr>
        <w:tabs>
          <w:tab w:val="decimal" w:pos="7938"/>
        </w:tabs>
      </w:pPr>
      <w:r w:rsidRPr="000F098D">
        <w:t>Die Hebesätze werden festgesetzt</w:t>
      </w:r>
    </w:p>
    <w:p w:rsidR="00D51873" w:rsidRPr="000F098D" w:rsidRDefault="00D51873" w:rsidP="00D51873">
      <w:pPr>
        <w:tabs>
          <w:tab w:val="decimal" w:pos="7938"/>
        </w:tabs>
        <w:rPr>
          <w:sz w:val="10"/>
          <w:szCs w:val="10"/>
        </w:rPr>
      </w:pPr>
    </w:p>
    <w:p w:rsidR="00D51873" w:rsidRPr="000F098D" w:rsidRDefault="00D51873" w:rsidP="00D51873">
      <w:pPr>
        <w:tabs>
          <w:tab w:val="decimal" w:pos="7938"/>
        </w:tabs>
      </w:pPr>
      <w:r w:rsidRPr="000F098D">
        <w:t>1. für die Grundsteuer</w:t>
      </w:r>
    </w:p>
    <w:p w:rsidR="00D51873" w:rsidRPr="000F098D" w:rsidRDefault="00D51873" w:rsidP="00D51873">
      <w:pPr>
        <w:tabs>
          <w:tab w:val="decimal" w:pos="7938"/>
        </w:tabs>
        <w:spacing w:line="360" w:lineRule="atLeast"/>
      </w:pPr>
      <w:r w:rsidRPr="000F098D">
        <w:t xml:space="preserve">    a) für die land- und forstwirtschaftlichen Betriebe</w:t>
      </w:r>
    </w:p>
    <w:p w:rsidR="00D51873" w:rsidRPr="003B2EFC" w:rsidRDefault="00D51873" w:rsidP="00D51873">
      <w:pPr>
        <w:tabs>
          <w:tab w:val="decimal" w:pos="7938"/>
        </w:tabs>
      </w:pPr>
      <w:r w:rsidRPr="000F098D">
        <w:t xml:space="preserve">        (Grundsteuer A) auf</w:t>
      </w:r>
      <w:r w:rsidRPr="000F098D">
        <w:tab/>
      </w:r>
      <w:r w:rsidRPr="003B2EFC">
        <w:t>320 v.H.</w:t>
      </w:r>
    </w:p>
    <w:p w:rsidR="00D51873" w:rsidRPr="003B2EFC" w:rsidRDefault="00D51873" w:rsidP="00D51873">
      <w:pPr>
        <w:tabs>
          <w:tab w:val="decimal" w:pos="7938"/>
        </w:tabs>
      </w:pPr>
      <w:r w:rsidRPr="003B2EFC">
        <w:t xml:space="preserve">    b) für die Grun</w:t>
      </w:r>
      <w:r w:rsidR="003B2B06" w:rsidRPr="003B2EFC">
        <w:t xml:space="preserve">dstücke (Grundsteuer B) auf </w:t>
      </w:r>
      <w:r w:rsidR="003B2B06" w:rsidRPr="003B2EFC">
        <w:tab/>
        <w:t>320</w:t>
      </w:r>
      <w:r w:rsidRPr="003B2EFC">
        <w:t xml:space="preserve"> v.H.</w:t>
      </w:r>
    </w:p>
    <w:p w:rsidR="00D51873" w:rsidRPr="003B2EFC" w:rsidRDefault="00D51873" w:rsidP="00D51873">
      <w:pPr>
        <w:tabs>
          <w:tab w:val="decimal" w:pos="7938"/>
        </w:tabs>
      </w:pPr>
      <w:r w:rsidRPr="003B2EFC">
        <w:t xml:space="preserve">        der Steuermessbeträge,</w:t>
      </w:r>
    </w:p>
    <w:p w:rsidR="00D51873" w:rsidRPr="000F098D" w:rsidRDefault="00D51873" w:rsidP="00D51873">
      <w:pPr>
        <w:tabs>
          <w:tab w:val="decimal" w:pos="7938"/>
        </w:tabs>
      </w:pPr>
    </w:p>
    <w:p w:rsidR="00D51873" w:rsidRPr="005B4094" w:rsidRDefault="00D51873" w:rsidP="00D51873">
      <w:pPr>
        <w:tabs>
          <w:tab w:val="decimal" w:pos="7938"/>
        </w:tabs>
      </w:pPr>
      <w:r w:rsidRPr="000F098D">
        <w:t xml:space="preserve">2. für die Gewerbesteuer auf                  </w:t>
      </w:r>
      <w:r w:rsidRPr="000F098D">
        <w:tab/>
      </w:r>
      <w:r w:rsidRPr="005B4094">
        <w:t>340 v.H.</w:t>
      </w:r>
    </w:p>
    <w:p w:rsidR="00D51873" w:rsidRPr="005B4094" w:rsidRDefault="00D51873" w:rsidP="00D51873">
      <w:pPr>
        <w:tabs>
          <w:tab w:val="decimal" w:pos="7938"/>
        </w:tabs>
      </w:pPr>
      <w:r w:rsidRPr="005B4094">
        <w:t xml:space="preserve">    der Steuermessbeträge.</w:t>
      </w:r>
    </w:p>
    <w:p w:rsidR="007117AA" w:rsidRDefault="007117AA" w:rsidP="00D51873">
      <w:pPr>
        <w:rPr>
          <w:u w:val="single"/>
        </w:rPr>
      </w:pPr>
    </w:p>
    <w:p w:rsidR="00F35C66" w:rsidRDefault="00F35C66" w:rsidP="00D51873">
      <w:pPr>
        <w:rPr>
          <w:u w:val="single"/>
        </w:rPr>
      </w:pPr>
    </w:p>
    <w:p w:rsidR="00D51873" w:rsidRDefault="000873AB" w:rsidP="00D51873">
      <w:pPr>
        <w:rPr>
          <w:u w:val="single"/>
        </w:rPr>
      </w:pPr>
      <w:r>
        <w:rPr>
          <w:u w:val="single"/>
        </w:rPr>
        <w:t>II</w:t>
      </w:r>
      <w:r w:rsidR="00D51873">
        <w:rPr>
          <w:u w:val="single"/>
        </w:rPr>
        <w:t>. Beschlussvorschlag</w:t>
      </w:r>
    </w:p>
    <w:p w:rsidR="00D51873" w:rsidRPr="005B4094" w:rsidRDefault="00D51873" w:rsidP="0095236B">
      <w:pPr>
        <w:jc w:val="both"/>
      </w:pPr>
      <w:r>
        <w:t>Der Gemein</w:t>
      </w:r>
      <w:bookmarkStart w:id="0" w:name="_GoBack"/>
      <w:bookmarkEnd w:id="0"/>
      <w:r>
        <w:t>derat möge die Haushaltssa</w:t>
      </w:r>
      <w:r w:rsidR="00837ACE">
        <w:t>tzung und den Haushaltsplan 201</w:t>
      </w:r>
      <w:r w:rsidR="000355B4">
        <w:t>9</w:t>
      </w:r>
      <w:r>
        <w:t xml:space="preserve"> </w:t>
      </w:r>
      <w:r w:rsidR="0095236B">
        <w:t xml:space="preserve">beraten und </w:t>
      </w:r>
      <w:r>
        <w:t>wie vorgelegt beschließen.</w:t>
      </w:r>
      <w:r w:rsidR="00F35C66">
        <w:t xml:space="preserve"> </w:t>
      </w:r>
      <w:r w:rsidR="00F35C66" w:rsidRPr="005B4094">
        <w:t>Zusätzlich möge der Gemeinderat die mittelfristige Finanz</w:t>
      </w:r>
      <w:r w:rsidR="00613FD1" w:rsidRPr="005B4094">
        <w:t>- und Investitions</w:t>
      </w:r>
      <w:r w:rsidR="00F35C66" w:rsidRPr="005B4094">
        <w:t xml:space="preserve">planung </w:t>
      </w:r>
      <w:r w:rsidR="007417BA" w:rsidRPr="005B4094">
        <w:t xml:space="preserve">der Jahre </w:t>
      </w:r>
      <w:r w:rsidR="00F35C66" w:rsidRPr="005B4094">
        <w:t>201</w:t>
      </w:r>
      <w:r w:rsidR="000355B4">
        <w:t>8</w:t>
      </w:r>
      <w:r w:rsidR="00E41E9A" w:rsidRPr="005B4094">
        <w:t xml:space="preserve"> – 202</w:t>
      </w:r>
      <w:r w:rsidR="000355B4">
        <w:t>2</w:t>
      </w:r>
      <w:r w:rsidR="00F35C66" w:rsidRPr="005B4094">
        <w:t xml:space="preserve"> beraten und beschließen.</w:t>
      </w:r>
    </w:p>
    <w:p w:rsidR="00F033C8" w:rsidRDefault="00F033C8" w:rsidP="00D51873"/>
    <w:p w:rsidR="00D51873" w:rsidRDefault="000873AB" w:rsidP="00D51873">
      <w:pPr>
        <w:rPr>
          <w:u w:val="single"/>
        </w:rPr>
      </w:pPr>
      <w:r>
        <w:rPr>
          <w:u w:val="single"/>
        </w:rPr>
        <w:t>III</w:t>
      </w:r>
      <w:r w:rsidR="00D51873">
        <w:rPr>
          <w:u w:val="single"/>
        </w:rPr>
        <w:t>. Anlagen</w:t>
      </w:r>
    </w:p>
    <w:p w:rsidR="006A2532" w:rsidRDefault="00D471C1" w:rsidP="00D51873">
      <w:r>
        <w:t xml:space="preserve">Haushaltssatzung </w:t>
      </w:r>
      <w:r w:rsidR="0095236B">
        <w:t>mit Haushaltsplan 201</w:t>
      </w:r>
      <w:r w:rsidR="000355B4">
        <w:t>9</w:t>
      </w:r>
      <w:r w:rsidR="00F61E1D">
        <w:t xml:space="preserve"> und allen Bestandteilen</w:t>
      </w:r>
    </w:p>
    <w:p w:rsidR="009A6B17" w:rsidRDefault="0095236B" w:rsidP="004C0F50">
      <w:pPr>
        <w:jc w:val="both"/>
      </w:pPr>
      <w:r>
        <w:t>(</w:t>
      </w:r>
      <w:r w:rsidR="00D51873">
        <w:t>Vorbericht</w:t>
      </w:r>
      <w:r>
        <w:t xml:space="preserve">, Gesamtplan, Verwaltungshaushalt, </w:t>
      </w:r>
      <w:r w:rsidR="00D51873">
        <w:t>Vermögenshaushalt</w:t>
      </w:r>
      <w:r>
        <w:t xml:space="preserve">, </w:t>
      </w:r>
      <w:r w:rsidR="00D51873">
        <w:t>Stellenplan</w:t>
      </w:r>
      <w:r>
        <w:t xml:space="preserve">, </w:t>
      </w:r>
      <w:r w:rsidR="00D51873">
        <w:t>Finanzplan mit Investitionsprogramm</w:t>
      </w:r>
      <w:r>
        <w:t>, S</w:t>
      </w:r>
      <w:r w:rsidR="00D51873">
        <w:t>chuldenübersicht</w:t>
      </w:r>
      <w:r>
        <w:t xml:space="preserve">, </w:t>
      </w:r>
      <w:r w:rsidR="00D51873">
        <w:t>Finanzzuweisungen</w:t>
      </w:r>
      <w:r>
        <w:t xml:space="preserve"> sowie Übersicht über die Haushalts- und Finanzlage)</w:t>
      </w:r>
    </w:p>
    <w:sectPr w:rsidR="009A6B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F0F25"/>
    <w:multiLevelType w:val="hybridMultilevel"/>
    <w:tmpl w:val="5EE621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50B88"/>
    <w:multiLevelType w:val="hybridMultilevel"/>
    <w:tmpl w:val="9D7E966E"/>
    <w:lvl w:ilvl="0" w:tplc="D28029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11C08"/>
    <w:multiLevelType w:val="hybridMultilevel"/>
    <w:tmpl w:val="528AD2F6"/>
    <w:lvl w:ilvl="0" w:tplc="19B221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C66CA"/>
    <w:multiLevelType w:val="hybridMultilevel"/>
    <w:tmpl w:val="376C79D0"/>
    <w:lvl w:ilvl="0" w:tplc="19D4559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F0F35"/>
    <w:multiLevelType w:val="hybridMultilevel"/>
    <w:tmpl w:val="5336B3CA"/>
    <w:lvl w:ilvl="0" w:tplc="45A8B6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B14B3"/>
    <w:multiLevelType w:val="hybridMultilevel"/>
    <w:tmpl w:val="5BCC1DFA"/>
    <w:lvl w:ilvl="0" w:tplc="4AB67A0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813A294A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56AE135B"/>
    <w:multiLevelType w:val="hybridMultilevel"/>
    <w:tmpl w:val="693CC136"/>
    <w:lvl w:ilvl="0" w:tplc="C24C97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16248"/>
    <w:multiLevelType w:val="hybridMultilevel"/>
    <w:tmpl w:val="A12A37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4157D"/>
    <w:multiLevelType w:val="hybridMultilevel"/>
    <w:tmpl w:val="4F2CA58C"/>
    <w:lvl w:ilvl="0" w:tplc="9C8041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C4BAA"/>
    <w:multiLevelType w:val="hybridMultilevel"/>
    <w:tmpl w:val="B0C650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C5F15"/>
    <w:multiLevelType w:val="hybridMultilevel"/>
    <w:tmpl w:val="13644BC6"/>
    <w:lvl w:ilvl="0" w:tplc="BEB0ED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73"/>
    <w:rsid w:val="00005718"/>
    <w:rsid w:val="00011B59"/>
    <w:rsid w:val="00017F57"/>
    <w:rsid w:val="000355B4"/>
    <w:rsid w:val="00066110"/>
    <w:rsid w:val="000873AB"/>
    <w:rsid w:val="000A0934"/>
    <w:rsid w:val="000C17B6"/>
    <w:rsid w:val="000F098D"/>
    <w:rsid w:val="000F0D76"/>
    <w:rsid w:val="000F4C98"/>
    <w:rsid w:val="000F6628"/>
    <w:rsid w:val="00122BF4"/>
    <w:rsid w:val="001345AE"/>
    <w:rsid w:val="001471EC"/>
    <w:rsid w:val="00152AC4"/>
    <w:rsid w:val="0016635A"/>
    <w:rsid w:val="001A3A50"/>
    <w:rsid w:val="001C2149"/>
    <w:rsid w:val="00234499"/>
    <w:rsid w:val="002469A7"/>
    <w:rsid w:val="002A1048"/>
    <w:rsid w:val="002A3BEE"/>
    <w:rsid w:val="002F7E29"/>
    <w:rsid w:val="003347AB"/>
    <w:rsid w:val="003664BE"/>
    <w:rsid w:val="0037673F"/>
    <w:rsid w:val="00392883"/>
    <w:rsid w:val="00397515"/>
    <w:rsid w:val="003B2B06"/>
    <w:rsid w:val="003B2EFC"/>
    <w:rsid w:val="003D7DDE"/>
    <w:rsid w:val="003F4F50"/>
    <w:rsid w:val="0040079F"/>
    <w:rsid w:val="0044411B"/>
    <w:rsid w:val="0046637C"/>
    <w:rsid w:val="004C0F50"/>
    <w:rsid w:val="004F6501"/>
    <w:rsid w:val="005161FD"/>
    <w:rsid w:val="005322D1"/>
    <w:rsid w:val="00533FCB"/>
    <w:rsid w:val="0059686A"/>
    <w:rsid w:val="005B4094"/>
    <w:rsid w:val="005F473C"/>
    <w:rsid w:val="005F74D9"/>
    <w:rsid w:val="005F7FF3"/>
    <w:rsid w:val="00613FD1"/>
    <w:rsid w:val="006465EB"/>
    <w:rsid w:val="006A2532"/>
    <w:rsid w:val="006C542E"/>
    <w:rsid w:val="006F5236"/>
    <w:rsid w:val="00702C26"/>
    <w:rsid w:val="007117AA"/>
    <w:rsid w:val="00721813"/>
    <w:rsid w:val="007417BA"/>
    <w:rsid w:val="0077648C"/>
    <w:rsid w:val="00780DF9"/>
    <w:rsid w:val="00785355"/>
    <w:rsid w:val="007878DE"/>
    <w:rsid w:val="007A238D"/>
    <w:rsid w:val="007C456A"/>
    <w:rsid w:val="007D2719"/>
    <w:rsid w:val="007D365C"/>
    <w:rsid w:val="007D44F0"/>
    <w:rsid w:val="0083391C"/>
    <w:rsid w:val="00834CEE"/>
    <w:rsid w:val="00837ACE"/>
    <w:rsid w:val="00841BFD"/>
    <w:rsid w:val="0087186B"/>
    <w:rsid w:val="00896C07"/>
    <w:rsid w:val="008D11F6"/>
    <w:rsid w:val="008D74C3"/>
    <w:rsid w:val="00930830"/>
    <w:rsid w:val="00950169"/>
    <w:rsid w:val="0095236B"/>
    <w:rsid w:val="009611F6"/>
    <w:rsid w:val="0099251C"/>
    <w:rsid w:val="00994BED"/>
    <w:rsid w:val="0099650A"/>
    <w:rsid w:val="00996551"/>
    <w:rsid w:val="009A6B17"/>
    <w:rsid w:val="009B5A99"/>
    <w:rsid w:val="009C059E"/>
    <w:rsid w:val="009C5DAE"/>
    <w:rsid w:val="00A120D7"/>
    <w:rsid w:val="00A15E7B"/>
    <w:rsid w:val="00A85AC6"/>
    <w:rsid w:val="00AB0C01"/>
    <w:rsid w:val="00AF25DD"/>
    <w:rsid w:val="00AF296B"/>
    <w:rsid w:val="00AF2BE8"/>
    <w:rsid w:val="00B25B7B"/>
    <w:rsid w:val="00B2630F"/>
    <w:rsid w:val="00B26AF8"/>
    <w:rsid w:val="00B372A2"/>
    <w:rsid w:val="00B82736"/>
    <w:rsid w:val="00B831DD"/>
    <w:rsid w:val="00B9484A"/>
    <w:rsid w:val="00BC7A34"/>
    <w:rsid w:val="00BE5A59"/>
    <w:rsid w:val="00BF19CA"/>
    <w:rsid w:val="00C475E7"/>
    <w:rsid w:val="00CC2333"/>
    <w:rsid w:val="00CC47DE"/>
    <w:rsid w:val="00CD7D2A"/>
    <w:rsid w:val="00CE5D08"/>
    <w:rsid w:val="00D15F25"/>
    <w:rsid w:val="00D227A6"/>
    <w:rsid w:val="00D313C0"/>
    <w:rsid w:val="00D41AC5"/>
    <w:rsid w:val="00D471C1"/>
    <w:rsid w:val="00D47406"/>
    <w:rsid w:val="00D51873"/>
    <w:rsid w:val="00D6315B"/>
    <w:rsid w:val="00D8121E"/>
    <w:rsid w:val="00D97357"/>
    <w:rsid w:val="00D97DF8"/>
    <w:rsid w:val="00DA538F"/>
    <w:rsid w:val="00DA5B6D"/>
    <w:rsid w:val="00DB43D1"/>
    <w:rsid w:val="00DF24EA"/>
    <w:rsid w:val="00DF2D3C"/>
    <w:rsid w:val="00E22EDC"/>
    <w:rsid w:val="00E41E9A"/>
    <w:rsid w:val="00E46470"/>
    <w:rsid w:val="00E77BB1"/>
    <w:rsid w:val="00EF0187"/>
    <w:rsid w:val="00EF4E7D"/>
    <w:rsid w:val="00F033C8"/>
    <w:rsid w:val="00F202D4"/>
    <w:rsid w:val="00F21F31"/>
    <w:rsid w:val="00F35C66"/>
    <w:rsid w:val="00F61E1D"/>
    <w:rsid w:val="00F816C5"/>
    <w:rsid w:val="00F904E1"/>
    <w:rsid w:val="00F95556"/>
    <w:rsid w:val="00FB7C29"/>
    <w:rsid w:val="00FD3DC0"/>
    <w:rsid w:val="00FE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94CCB"/>
  <w15:chartTrackingRefBased/>
  <w15:docId w15:val="{73C0C272-7DCF-4774-A96C-B9AF9904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1873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D51873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rsid w:val="00D5187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Dokumentstruktur">
    <w:name w:val="Document Map"/>
    <w:basedOn w:val="Standard"/>
    <w:semiHidden/>
    <w:rsid w:val="006F52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uiPriority w:val="34"/>
    <w:qFormat/>
    <w:rsid w:val="00392883"/>
    <w:pPr>
      <w:ind w:left="708"/>
    </w:pPr>
  </w:style>
  <w:style w:type="paragraph" w:styleId="Sprechblasentext">
    <w:name w:val="Balloon Text"/>
    <w:basedOn w:val="Standard"/>
    <w:link w:val="SprechblasentextZchn"/>
    <w:rsid w:val="0036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66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9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DE12C-1A89-40E5-ADF0-6C0FDD0BF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Tagesordnungspunkt :</vt:lpstr>
    </vt:vector>
  </TitlesOfParts>
  <Company>Gemeinde Frickingen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Tagesordnungspunkt :</dc:title>
  <dc:subject/>
  <dc:creator>Jürgen Stukle</dc:creator>
  <cp:keywords/>
  <cp:lastModifiedBy>Florian Keller | Gemeinde Frickingen</cp:lastModifiedBy>
  <cp:revision>10</cp:revision>
  <cp:lastPrinted>2019-01-18T10:52:00Z</cp:lastPrinted>
  <dcterms:created xsi:type="dcterms:W3CDTF">2019-01-11T09:06:00Z</dcterms:created>
  <dcterms:modified xsi:type="dcterms:W3CDTF">2019-01-18T11:14:00Z</dcterms:modified>
</cp:coreProperties>
</file>