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Gemeinde Frickingen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Bodenseekreis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Satzung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über die Veränderungssperre für d</w:t>
      </w:r>
      <w:r w:rsidR="005303B4">
        <w:rPr>
          <w:rFonts w:ascii="Arial" w:hAnsi="Arial" w:cs="Arial"/>
          <w:sz w:val="22"/>
          <w:szCs w:val="22"/>
        </w:rPr>
        <w:t>ie</w:t>
      </w:r>
      <w:r w:rsidRPr="00165937">
        <w:rPr>
          <w:rFonts w:ascii="Arial" w:hAnsi="Arial" w:cs="Arial"/>
          <w:sz w:val="22"/>
          <w:szCs w:val="22"/>
        </w:rPr>
        <w:t xml:space="preserve"> Grundstück</w:t>
      </w:r>
      <w:r w:rsidR="005303B4">
        <w:rPr>
          <w:rFonts w:ascii="Arial" w:hAnsi="Arial" w:cs="Arial"/>
          <w:sz w:val="22"/>
          <w:szCs w:val="22"/>
        </w:rPr>
        <w:t>e</w:t>
      </w:r>
      <w:r w:rsidR="007E7C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E7CE5">
        <w:rPr>
          <w:rFonts w:ascii="Arial" w:hAnsi="Arial" w:cs="Arial"/>
          <w:sz w:val="22"/>
          <w:szCs w:val="22"/>
        </w:rPr>
        <w:t>F</w:t>
      </w:r>
      <w:r w:rsidRPr="00165937">
        <w:rPr>
          <w:rFonts w:ascii="Arial" w:hAnsi="Arial" w:cs="Arial"/>
          <w:sz w:val="22"/>
          <w:szCs w:val="22"/>
        </w:rPr>
        <w:t>lst</w:t>
      </w:r>
      <w:proofErr w:type="spellEnd"/>
      <w:r w:rsidRPr="00165937">
        <w:rPr>
          <w:rFonts w:ascii="Arial" w:hAnsi="Arial" w:cs="Arial"/>
          <w:sz w:val="22"/>
          <w:szCs w:val="22"/>
        </w:rPr>
        <w:t>. Nr</w:t>
      </w:r>
      <w:r w:rsidR="005303B4">
        <w:rPr>
          <w:rFonts w:ascii="Arial" w:hAnsi="Arial" w:cs="Arial"/>
          <w:sz w:val="22"/>
          <w:szCs w:val="22"/>
        </w:rPr>
        <w:t>n. 8, 9, 10, 11, 11/1, 11/2, 11/3, 11/4, 11/5, 11/6, 11/7, 11/8, 6, 6/1, 6/3, 12 und 13</w:t>
      </w:r>
      <w:r w:rsidRPr="00165937">
        <w:rPr>
          <w:rFonts w:ascii="Arial" w:hAnsi="Arial" w:cs="Arial"/>
          <w:sz w:val="22"/>
          <w:szCs w:val="22"/>
        </w:rPr>
        <w:t xml:space="preserve"> der Ge</w:t>
      </w:r>
      <w:r w:rsidR="005303B4">
        <w:rPr>
          <w:rFonts w:ascii="Arial" w:hAnsi="Arial" w:cs="Arial"/>
          <w:sz w:val="22"/>
          <w:szCs w:val="22"/>
        </w:rPr>
        <w:t>markung Frickingen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 xml:space="preserve">Nach § 14 des Baugesetzbuches (BauGB) in Verbindung mit § 4 der Gemeindeordnung für Baden-Württemberg hat der Gemeinderat der Gemeinde Frickingen in seiner Sitzung vom </w:t>
      </w:r>
      <w:r w:rsidR="005303B4">
        <w:rPr>
          <w:rFonts w:ascii="Arial" w:hAnsi="Arial" w:cs="Arial"/>
          <w:sz w:val="22"/>
          <w:szCs w:val="22"/>
        </w:rPr>
        <w:t>08.10.2019</w:t>
      </w:r>
      <w:r w:rsidRPr="00165937">
        <w:rPr>
          <w:rFonts w:ascii="Arial" w:hAnsi="Arial" w:cs="Arial"/>
          <w:sz w:val="22"/>
          <w:szCs w:val="22"/>
        </w:rPr>
        <w:t xml:space="preserve"> folgende Veränderungssperre als Satzung beschlossen: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1</w:t>
      </w: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Anordnung der Veränderungssperre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Zur Sicherung der Planung im künftigen Geltungsbereich des Bebauungsplanes ‘</w:t>
      </w:r>
      <w:proofErr w:type="spellStart"/>
      <w:r w:rsidR="005303B4">
        <w:rPr>
          <w:rFonts w:ascii="Arial" w:hAnsi="Arial" w:cs="Arial"/>
          <w:sz w:val="22"/>
          <w:szCs w:val="22"/>
        </w:rPr>
        <w:t>Altheimer</w:t>
      </w:r>
      <w:proofErr w:type="spellEnd"/>
      <w:r w:rsidR="005303B4">
        <w:rPr>
          <w:rFonts w:ascii="Arial" w:hAnsi="Arial" w:cs="Arial"/>
          <w:sz w:val="22"/>
          <w:szCs w:val="22"/>
        </w:rPr>
        <w:t xml:space="preserve"> Straße/Mühlenstraße</w:t>
      </w:r>
      <w:r w:rsidRPr="00165937">
        <w:rPr>
          <w:rFonts w:ascii="Arial" w:hAnsi="Arial" w:cs="Arial"/>
          <w:sz w:val="22"/>
          <w:szCs w:val="22"/>
        </w:rPr>
        <w:t xml:space="preserve">’ wird </w:t>
      </w:r>
      <w:r w:rsidR="007E7CE5">
        <w:rPr>
          <w:rFonts w:ascii="Arial" w:hAnsi="Arial" w:cs="Arial"/>
          <w:sz w:val="22"/>
          <w:szCs w:val="22"/>
        </w:rPr>
        <w:t>auf de</w:t>
      </w:r>
      <w:r w:rsidR="005303B4">
        <w:rPr>
          <w:rFonts w:ascii="Arial" w:hAnsi="Arial" w:cs="Arial"/>
          <w:sz w:val="22"/>
          <w:szCs w:val="22"/>
        </w:rPr>
        <w:t>n</w:t>
      </w:r>
      <w:r w:rsidR="007E7CE5">
        <w:rPr>
          <w:rFonts w:ascii="Arial" w:hAnsi="Arial" w:cs="Arial"/>
          <w:sz w:val="22"/>
          <w:szCs w:val="22"/>
        </w:rPr>
        <w:t xml:space="preserve"> Grundstück</w:t>
      </w:r>
      <w:r w:rsidR="005303B4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5303B4">
        <w:rPr>
          <w:rFonts w:ascii="Arial" w:hAnsi="Arial" w:cs="Arial"/>
          <w:sz w:val="22"/>
          <w:szCs w:val="22"/>
        </w:rPr>
        <w:t>F</w:t>
      </w:r>
      <w:r w:rsidR="005303B4" w:rsidRPr="00165937">
        <w:rPr>
          <w:rFonts w:ascii="Arial" w:hAnsi="Arial" w:cs="Arial"/>
          <w:sz w:val="22"/>
          <w:szCs w:val="22"/>
        </w:rPr>
        <w:t>lst</w:t>
      </w:r>
      <w:proofErr w:type="spellEnd"/>
      <w:r w:rsidR="005303B4" w:rsidRPr="00165937">
        <w:rPr>
          <w:rFonts w:ascii="Arial" w:hAnsi="Arial" w:cs="Arial"/>
          <w:sz w:val="22"/>
          <w:szCs w:val="22"/>
        </w:rPr>
        <w:t>. Nr</w:t>
      </w:r>
      <w:r w:rsidR="005303B4">
        <w:rPr>
          <w:rFonts w:ascii="Arial" w:hAnsi="Arial" w:cs="Arial"/>
          <w:sz w:val="22"/>
          <w:szCs w:val="22"/>
        </w:rPr>
        <w:t>n. 8, 9, 10, 11, 11/1, 11/2, 11/3, 11/4, 11/5, 11/6, 11/7, 11/8, 6, 6/1, 6/3, 12 und 13</w:t>
      </w:r>
      <w:r w:rsidR="005303B4" w:rsidRPr="00165937">
        <w:rPr>
          <w:rFonts w:ascii="Arial" w:hAnsi="Arial" w:cs="Arial"/>
          <w:sz w:val="22"/>
          <w:szCs w:val="22"/>
        </w:rPr>
        <w:t xml:space="preserve"> der Ge</w:t>
      </w:r>
      <w:r w:rsidR="005303B4">
        <w:rPr>
          <w:rFonts w:ascii="Arial" w:hAnsi="Arial" w:cs="Arial"/>
          <w:sz w:val="22"/>
          <w:szCs w:val="22"/>
        </w:rPr>
        <w:t>markung Frickingen</w:t>
      </w:r>
      <w:r w:rsidR="007E7CE5">
        <w:rPr>
          <w:rFonts w:ascii="Arial" w:hAnsi="Arial" w:cs="Arial"/>
          <w:sz w:val="22"/>
          <w:szCs w:val="22"/>
        </w:rPr>
        <w:t xml:space="preserve"> </w:t>
      </w:r>
      <w:r w:rsidRPr="00165937">
        <w:rPr>
          <w:rFonts w:ascii="Arial" w:hAnsi="Arial" w:cs="Arial"/>
          <w:sz w:val="22"/>
          <w:szCs w:val="22"/>
        </w:rPr>
        <w:t>eine</w:t>
      </w:r>
      <w:r w:rsidR="00575100">
        <w:rPr>
          <w:rFonts w:ascii="Arial" w:hAnsi="Arial" w:cs="Arial"/>
          <w:sz w:val="22"/>
          <w:szCs w:val="22"/>
        </w:rPr>
        <w:t xml:space="preserve"> Veränderungssperre angeordnet.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2</w:t>
      </w: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Räumlicher Geltungsbereich der Veränderungssperre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 xml:space="preserve">Der räumliche Geltungsbereich der Veränderungssperre umfasst den im beigefügten Lageplan </w:t>
      </w:r>
      <w:r w:rsidR="005303B4">
        <w:rPr>
          <w:rFonts w:ascii="Arial" w:hAnsi="Arial" w:cs="Arial"/>
          <w:sz w:val="22"/>
          <w:szCs w:val="22"/>
        </w:rPr>
        <w:t>blau umrandeten</w:t>
      </w:r>
      <w:r w:rsidRPr="00165937">
        <w:rPr>
          <w:rFonts w:ascii="Arial" w:hAnsi="Arial" w:cs="Arial"/>
          <w:sz w:val="22"/>
          <w:szCs w:val="22"/>
        </w:rPr>
        <w:t xml:space="preserve"> Bereich.</w:t>
      </w:r>
      <w:r w:rsidR="00575100">
        <w:rPr>
          <w:rFonts w:ascii="Arial" w:hAnsi="Arial" w:cs="Arial"/>
          <w:sz w:val="22"/>
          <w:szCs w:val="22"/>
        </w:rPr>
        <w:t xml:space="preserve"> Für den räumlichen Geltungsbereich ist der Lageplan vom </w:t>
      </w:r>
      <w:r w:rsidR="005303B4">
        <w:rPr>
          <w:rFonts w:ascii="Arial" w:hAnsi="Arial" w:cs="Arial"/>
          <w:sz w:val="22"/>
          <w:szCs w:val="22"/>
        </w:rPr>
        <w:t xml:space="preserve">20.09.2019 </w:t>
      </w:r>
      <w:r w:rsidR="00575100">
        <w:rPr>
          <w:rFonts w:ascii="Arial" w:hAnsi="Arial" w:cs="Arial"/>
          <w:sz w:val="22"/>
          <w:szCs w:val="22"/>
        </w:rPr>
        <w:t>maßgebend.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3</w:t>
      </w: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Inhalt und Rechtswirkungen der Veränderungssperre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(1)</w:t>
      </w:r>
      <w:r w:rsidRPr="00165937">
        <w:rPr>
          <w:rFonts w:ascii="Arial" w:hAnsi="Arial" w:cs="Arial"/>
          <w:sz w:val="22"/>
          <w:szCs w:val="22"/>
        </w:rPr>
        <w:tab/>
        <w:t>Im räumlichen Geltungsbereich der Veränderungssperre dürfen</w:t>
      </w:r>
    </w:p>
    <w:p w:rsidR="00417DD7" w:rsidRPr="00540FA6" w:rsidRDefault="00417DD7" w:rsidP="00540FA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0FA6">
        <w:rPr>
          <w:rFonts w:ascii="Arial" w:hAnsi="Arial" w:cs="Arial"/>
          <w:sz w:val="22"/>
          <w:szCs w:val="22"/>
        </w:rPr>
        <w:t>Vorhaben im Sinne des § 29 BauGB nicht durchgeführt oder bauliche Anlagen nicht beseitigt werden;</w:t>
      </w:r>
    </w:p>
    <w:p w:rsidR="00417DD7" w:rsidRPr="00540FA6" w:rsidRDefault="00417DD7" w:rsidP="00540FA6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40FA6">
        <w:rPr>
          <w:rFonts w:ascii="Arial" w:hAnsi="Arial" w:cs="Arial"/>
          <w:sz w:val="22"/>
          <w:szCs w:val="22"/>
        </w:rPr>
        <w:t xml:space="preserve">erhebliche oder wesentlich </w:t>
      </w:r>
      <w:r w:rsidR="0044213D" w:rsidRPr="00540FA6">
        <w:rPr>
          <w:rFonts w:ascii="Arial" w:hAnsi="Arial" w:cs="Arial"/>
          <w:sz w:val="22"/>
          <w:szCs w:val="22"/>
        </w:rPr>
        <w:t>w</w:t>
      </w:r>
      <w:r w:rsidRPr="00540FA6">
        <w:rPr>
          <w:rFonts w:ascii="Arial" w:hAnsi="Arial" w:cs="Arial"/>
          <w:sz w:val="22"/>
          <w:szCs w:val="22"/>
        </w:rPr>
        <w:t>ertsteigernde Veränderungen von Grundstücken und baulichen Anlagen, deren Veränderungen nicht genehmigungs-, zustimmungs- oder anzeigepflichtig sind, nicht vorgenommen werden.</w:t>
      </w: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(2)</w:t>
      </w:r>
      <w:r w:rsidRPr="00165937">
        <w:rPr>
          <w:rFonts w:ascii="Arial" w:hAnsi="Arial" w:cs="Arial"/>
          <w:sz w:val="22"/>
          <w:szCs w:val="22"/>
        </w:rPr>
        <w:tab/>
        <w:t>Vorhaben, die vor dem Inkrafttreten der Veränderungssperre baurechtlich genehmigt worden sind,</w:t>
      </w:r>
      <w:r w:rsidR="00575100">
        <w:rPr>
          <w:rFonts w:ascii="Arial" w:hAnsi="Arial" w:cs="Arial"/>
          <w:sz w:val="22"/>
          <w:szCs w:val="22"/>
        </w:rPr>
        <w:t xml:space="preserve"> Vorhaben, von denen die Gemeinde nach Maßgabe des Bauordnungsrechts Kenntnis erlangt hat und mit deren Ausführung vor dem Inkrafttreten der Veränderungssperre hätte begonnen werden dürfen, sowie</w:t>
      </w:r>
      <w:r w:rsidRPr="00165937">
        <w:rPr>
          <w:rFonts w:ascii="Arial" w:hAnsi="Arial" w:cs="Arial"/>
          <w:sz w:val="22"/>
          <w:szCs w:val="22"/>
        </w:rPr>
        <w:t xml:space="preserve"> Unterhaltungsarbeiten und die Fortführung einer bisher ausgeübten Nutzung werden von der Veränderungssperre nicht berührt.</w:t>
      </w: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(3)</w:t>
      </w:r>
      <w:r w:rsidRPr="00165937">
        <w:rPr>
          <w:rFonts w:ascii="Arial" w:hAnsi="Arial" w:cs="Arial"/>
          <w:sz w:val="22"/>
          <w:szCs w:val="22"/>
        </w:rPr>
        <w:tab/>
        <w:t>In Anwendung von § 14 Abs. 2 BauGB kann von der Veränderungssperre eine Ausnahme zugelassen werden, wenn überwiegende öffentliche Belange nicht entgegenstehen. Die Entscheidung hierüber trifft die Baugenehmigungsbehörde im Einvernehmen mit der Gemeinde.</w:t>
      </w: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br w:type="page"/>
      </w:r>
    </w:p>
    <w:p w:rsidR="00417DD7" w:rsidRPr="00165937" w:rsidRDefault="00417DD7" w:rsidP="00417DD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417DD7" w:rsidRPr="00165937" w:rsidRDefault="00417DD7" w:rsidP="00417DD7">
      <w:pPr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Inkrafttreten</w:t>
      </w:r>
    </w:p>
    <w:p w:rsidR="00417DD7" w:rsidRPr="00165937" w:rsidRDefault="00417DD7" w:rsidP="00417DD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Die Satzung über die Anordnung der Veränderungssperre tritt mit der öffentlichen Bekanntmachung nach § 1</w:t>
      </w:r>
      <w:r w:rsidR="00575100">
        <w:rPr>
          <w:rFonts w:ascii="Arial" w:hAnsi="Arial" w:cs="Arial"/>
          <w:sz w:val="22"/>
          <w:szCs w:val="22"/>
        </w:rPr>
        <w:t>6</w:t>
      </w:r>
      <w:r w:rsidRPr="00165937">
        <w:rPr>
          <w:rFonts w:ascii="Arial" w:hAnsi="Arial" w:cs="Arial"/>
          <w:sz w:val="22"/>
          <w:szCs w:val="22"/>
        </w:rPr>
        <w:t xml:space="preserve"> </w:t>
      </w:r>
      <w:r w:rsidR="0044213D">
        <w:rPr>
          <w:rFonts w:ascii="Arial" w:hAnsi="Arial" w:cs="Arial"/>
          <w:sz w:val="22"/>
          <w:szCs w:val="22"/>
        </w:rPr>
        <w:t xml:space="preserve">Abs. </w:t>
      </w:r>
      <w:r w:rsidR="00575100">
        <w:rPr>
          <w:rFonts w:ascii="Arial" w:hAnsi="Arial" w:cs="Arial"/>
          <w:sz w:val="22"/>
          <w:szCs w:val="22"/>
        </w:rPr>
        <w:t>2 Satz 1</w:t>
      </w:r>
      <w:r w:rsidR="0044213D">
        <w:rPr>
          <w:rFonts w:ascii="Arial" w:hAnsi="Arial" w:cs="Arial"/>
          <w:sz w:val="22"/>
          <w:szCs w:val="22"/>
        </w:rPr>
        <w:t xml:space="preserve"> </w:t>
      </w:r>
      <w:r w:rsidRPr="00165937">
        <w:rPr>
          <w:rFonts w:ascii="Arial" w:hAnsi="Arial" w:cs="Arial"/>
          <w:sz w:val="22"/>
          <w:szCs w:val="22"/>
        </w:rPr>
        <w:t>BauGB in Kraft.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§ 5</w:t>
      </w:r>
    </w:p>
    <w:p w:rsidR="00417DD7" w:rsidRPr="00165937" w:rsidRDefault="00417DD7" w:rsidP="00417DD7">
      <w:pPr>
        <w:jc w:val="center"/>
        <w:rPr>
          <w:rFonts w:ascii="Arial" w:hAnsi="Arial" w:cs="Arial"/>
          <w:b/>
          <w:sz w:val="22"/>
          <w:szCs w:val="22"/>
        </w:rPr>
      </w:pPr>
      <w:r w:rsidRPr="00165937">
        <w:rPr>
          <w:rFonts w:ascii="Arial" w:hAnsi="Arial" w:cs="Arial"/>
          <w:b/>
          <w:sz w:val="22"/>
          <w:szCs w:val="22"/>
        </w:rPr>
        <w:t>Geltungsdauer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Für die Geltungsdauer der Veränderungssperre ist § 17 BauGB maßgebend.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4213D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Frickingen, den</w:t>
      </w:r>
      <w:r w:rsidR="00540FA6">
        <w:rPr>
          <w:rFonts w:ascii="Arial" w:hAnsi="Arial" w:cs="Arial"/>
          <w:sz w:val="22"/>
          <w:szCs w:val="22"/>
        </w:rPr>
        <w:t xml:space="preserve"> </w:t>
      </w:r>
    </w:p>
    <w:p w:rsidR="00540FA6" w:rsidRDefault="00540FA6" w:rsidP="00417DD7">
      <w:pPr>
        <w:jc w:val="both"/>
        <w:rPr>
          <w:rFonts w:ascii="Arial" w:hAnsi="Arial" w:cs="Arial"/>
          <w:sz w:val="22"/>
          <w:szCs w:val="22"/>
        </w:rPr>
      </w:pPr>
    </w:p>
    <w:p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4213D" w:rsidP="0041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Jürgen Stukle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Bürgermeister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0C4348" w:rsidRPr="00165937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  <w:u w:val="single"/>
        </w:rPr>
      </w:pPr>
      <w:r w:rsidRPr="00165937">
        <w:rPr>
          <w:rFonts w:ascii="Arial" w:hAnsi="Arial" w:cs="Arial"/>
          <w:sz w:val="22"/>
          <w:szCs w:val="22"/>
          <w:u w:val="single"/>
        </w:rPr>
        <w:t>Ausfertigung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Es wird bestätigt, dass der Inhalt des zeichnerischen und textlichen Teils der Veränderungssperre in der Fassung vom</w:t>
      </w:r>
      <w:r w:rsidR="007E7CE5">
        <w:rPr>
          <w:rFonts w:ascii="Arial" w:hAnsi="Arial" w:cs="Arial"/>
          <w:sz w:val="22"/>
          <w:szCs w:val="22"/>
        </w:rPr>
        <w:t xml:space="preserve"> </w:t>
      </w:r>
      <w:r w:rsidR="005303B4">
        <w:rPr>
          <w:rFonts w:ascii="Arial" w:hAnsi="Arial" w:cs="Arial"/>
          <w:sz w:val="22"/>
          <w:szCs w:val="22"/>
        </w:rPr>
        <w:t>20.09.2019</w:t>
      </w:r>
      <w:r w:rsidRPr="00165937">
        <w:rPr>
          <w:rFonts w:ascii="Arial" w:hAnsi="Arial" w:cs="Arial"/>
          <w:sz w:val="22"/>
          <w:szCs w:val="22"/>
        </w:rPr>
        <w:t xml:space="preserve"> mit dem Satzungsbeschluss des Gemeinderates in der öffentlichen Sitzung am </w:t>
      </w:r>
      <w:r w:rsidR="005303B4">
        <w:rPr>
          <w:rFonts w:ascii="Arial" w:hAnsi="Arial" w:cs="Arial"/>
          <w:sz w:val="22"/>
          <w:szCs w:val="22"/>
        </w:rPr>
        <w:t>08.10.2019</w:t>
      </w:r>
      <w:r w:rsidRPr="00165937">
        <w:rPr>
          <w:rFonts w:ascii="Arial" w:hAnsi="Arial" w:cs="Arial"/>
          <w:sz w:val="22"/>
          <w:szCs w:val="22"/>
        </w:rPr>
        <w:t xml:space="preserve"> identisch ist.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0C4348" w:rsidRDefault="000C4348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4213D" w:rsidP="00417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Jürgen Stukle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Bürgermeister</w:t>
      </w: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</w:rPr>
      </w:pPr>
    </w:p>
    <w:p w:rsidR="00417DD7" w:rsidRPr="00165937" w:rsidRDefault="00417DD7" w:rsidP="00417DD7">
      <w:pPr>
        <w:jc w:val="both"/>
        <w:rPr>
          <w:rFonts w:ascii="Arial" w:hAnsi="Arial" w:cs="Arial"/>
          <w:sz w:val="22"/>
          <w:szCs w:val="22"/>
          <w:u w:val="single"/>
        </w:rPr>
      </w:pPr>
      <w:r w:rsidRPr="00165937">
        <w:rPr>
          <w:rFonts w:ascii="Arial" w:hAnsi="Arial" w:cs="Arial"/>
          <w:sz w:val="22"/>
          <w:szCs w:val="22"/>
          <w:u w:val="single"/>
        </w:rPr>
        <w:t>Ausfertigungsvermerk</w:t>
      </w:r>
    </w:p>
    <w:p w:rsidR="00417DD7" w:rsidRDefault="00417DD7" w:rsidP="00417DD7">
      <w:pPr>
        <w:jc w:val="both"/>
        <w:rPr>
          <w:rFonts w:ascii="Arial" w:hAnsi="Arial" w:cs="Arial"/>
          <w:sz w:val="22"/>
          <w:szCs w:val="22"/>
        </w:rPr>
      </w:pPr>
      <w:r w:rsidRPr="00165937">
        <w:rPr>
          <w:rFonts w:ascii="Arial" w:hAnsi="Arial" w:cs="Arial"/>
          <w:sz w:val="22"/>
          <w:szCs w:val="22"/>
        </w:rPr>
        <w:t>Die ortsübliche Bekanntmachung der Veränderungssperre e</w:t>
      </w:r>
      <w:r w:rsidR="009B115D">
        <w:rPr>
          <w:rFonts w:ascii="Arial" w:hAnsi="Arial" w:cs="Arial"/>
          <w:sz w:val="22"/>
          <w:szCs w:val="22"/>
        </w:rPr>
        <w:t>rfolgte am</w:t>
      </w:r>
      <w:r w:rsidR="002519AC">
        <w:rPr>
          <w:rFonts w:ascii="Arial" w:hAnsi="Arial" w:cs="Arial"/>
          <w:sz w:val="22"/>
          <w:szCs w:val="22"/>
        </w:rPr>
        <w:t>……………..</w:t>
      </w:r>
      <w:r w:rsidR="005303B4">
        <w:rPr>
          <w:rFonts w:ascii="Arial" w:hAnsi="Arial" w:cs="Arial"/>
          <w:sz w:val="22"/>
          <w:szCs w:val="22"/>
        </w:rPr>
        <w:t>.</w:t>
      </w:r>
    </w:p>
    <w:p w:rsidR="005303B4" w:rsidRDefault="005303B4" w:rsidP="00417DD7">
      <w:pPr>
        <w:jc w:val="both"/>
        <w:rPr>
          <w:rFonts w:ascii="Arial" w:hAnsi="Arial" w:cs="Arial"/>
          <w:sz w:val="22"/>
          <w:szCs w:val="22"/>
        </w:rPr>
      </w:pPr>
    </w:p>
    <w:p w:rsidR="005303B4" w:rsidRDefault="005303B4">
      <w:pPr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5303B4" w:rsidRPr="00165937" w:rsidRDefault="005303B4" w:rsidP="005303B4">
      <w:pPr>
        <w:jc w:val="center"/>
        <w:rPr>
          <w:rFonts w:ascii="Arial" w:hAnsi="Arial" w:cs="Arial"/>
          <w:sz w:val="22"/>
          <w:szCs w:val="22"/>
        </w:rPr>
      </w:pPr>
      <w:r w:rsidRPr="005303B4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8467109" cy="3960000"/>
            <wp:effectExtent l="5715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67109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3B4" w:rsidRPr="00165937" w:rsidSect="00981377">
      <w:type w:val="continuous"/>
      <w:pgSz w:w="11907" w:h="16840" w:code="9"/>
      <w:pgMar w:top="1418" w:right="907" w:bottom="1134" w:left="1418" w:header="720" w:footer="720" w:gutter="0"/>
      <w:paperSrc w:first="14" w:other="1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57E"/>
    <w:multiLevelType w:val="hybridMultilevel"/>
    <w:tmpl w:val="6EEE10AA"/>
    <w:lvl w:ilvl="0" w:tplc="B466195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5C00A34"/>
    <w:multiLevelType w:val="hybridMultilevel"/>
    <w:tmpl w:val="25F0C6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7"/>
    <w:rsid w:val="000A226F"/>
    <w:rsid w:val="000C4348"/>
    <w:rsid w:val="002519AC"/>
    <w:rsid w:val="00417DD7"/>
    <w:rsid w:val="0044213D"/>
    <w:rsid w:val="005303B4"/>
    <w:rsid w:val="00540FA6"/>
    <w:rsid w:val="00575100"/>
    <w:rsid w:val="007E0E4B"/>
    <w:rsid w:val="007E7CE5"/>
    <w:rsid w:val="00914B2B"/>
    <w:rsid w:val="00981377"/>
    <w:rsid w:val="009B115D"/>
    <w:rsid w:val="00BE35A0"/>
    <w:rsid w:val="00CA7190"/>
    <w:rsid w:val="00CE38CF"/>
    <w:rsid w:val="00CF15E3"/>
    <w:rsid w:val="00D6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BEC7F"/>
  <w15:docId w15:val="{AF6D3F53-0567-4E37-AD05-129BA439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DD7"/>
    <w:pPr>
      <w:overflowPunct w:val="0"/>
      <w:autoSpaceDE w:val="0"/>
      <w:autoSpaceDN w:val="0"/>
      <w:adjustRightInd w:val="0"/>
    </w:pPr>
    <w:rPr>
      <w:rFonts w:ascii="Tms Rmn" w:hAnsi="Tms Rm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C43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C434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Frickingen</vt:lpstr>
    </vt:vector>
  </TitlesOfParts>
  <Company>Gemeinde Frickingen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Frickingen</dc:title>
  <dc:creator>Vollstaedt</dc:creator>
  <cp:lastModifiedBy>Markus Vollstaedt | Gemeinde Frickingen</cp:lastModifiedBy>
  <cp:revision>4</cp:revision>
  <cp:lastPrinted>2017-10-11T15:21:00Z</cp:lastPrinted>
  <dcterms:created xsi:type="dcterms:W3CDTF">2019-09-20T11:04:00Z</dcterms:created>
  <dcterms:modified xsi:type="dcterms:W3CDTF">2019-10-02T13:18:00Z</dcterms:modified>
</cp:coreProperties>
</file>