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540" w:rsidRDefault="00386540" w:rsidP="00386540">
      <w:pPr>
        <w:jc w:val="both"/>
        <w:rPr>
          <w:rFonts w:ascii="Arial" w:hAnsi="Arial" w:cs="Arial"/>
          <w:b/>
          <w:bCs/>
          <w:sz w:val="22"/>
          <w:szCs w:val="22"/>
        </w:rPr>
      </w:pPr>
      <w:r>
        <w:rPr>
          <w:rFonts w:ascii="Arial" w:hAnsi="Arial" w:cs="Arial"/>
          <w:b/>
          <w:bCs/>
          <w:sz w:val="22"/>
          <w:szCs w:val="22"/>
        </w:rPr>
        <w:t>Sitzungsvorlage</w:t>
      </w:r>
    </w:p>
    <w:p w:rsidR="00386540" w:rsidRDefault="00386540" w:rsidP="00386540">
      <w:pPr>
        <w:jc w:val="both"/>
        <w:rPr>
          <w:rFonts w:ascii="Arial" w:hAnsi="Arial" w:cs="Arial"/>
          <w:b/>
          <w:bCs/>
          <w:sz w:val="22"/>
          <w:szCs w:val="22"/>
        </w:rPr>
      </w:pPr>
      <w:r>
        <w:rPr>
          <w:rFonts w:ascii="Arial" w:hAnsi="Arial" w:cs="Arial"/>
          <w:b/>
          <w:bCs/>
          <w:sz w:val="22"/>
          <w:szCs w:val="22"/>
        </w:rPr>
        <w:t>Ge</w:t>
      </w:r>
      <w:r w:rsidR="00E96541">
        <w:rPr>
          <w:rFonts w:ascii="Arial" w:hAnsi="Arial" w:cs="Arial"/>
          <w:b/>
          <w:bCs/>
          <w:sz w:val="22"/>
          <w:szCs w:val="22"/>
        </w:rPr>
        <w:t>meinderatssitzung vom 17.09.2019</w:t>
      </w:r>
    </w:p>
    <w:p w:rsidR="00386540" w:rsidRDefault="00386540" w:rsidP="00386540">
      <w:pPr>
        <w:jc w:val="both"/>
        <w:rPr>
          <w:rFonts w:ascii="Arial" w:hAnsi="Arial" w:cs="Arial"/>
          <w:b/>
          <w:bCs/>
          <w:sz w:val="22"/>
          <w:szCs w:val="22"/>
        </w:rPr>
      </w:pPr>
    </w:p>
    <w:p w:rsidR="00E96541" w:rsidRDefault="00E96541" w:rsidP="00386540">
      <w:pPr>
        <w:jc w:val="both"/>
        <w:rPr>
          <w:rFonts w:ascii="Arial" w:hAnsi="Arial" w:cs="Arial"/>
          <w:b/>
          <w:bCs/>
          <w:sz w:val="22"/>
          <w:szCs w:val="22"/>
        </w:rPr>
      </w:pPr>
      <w:bookmarkStart w:id="0" w:name="_GoBack"/>
      <w:bookmarkEnd w:id="0"/>
    </w:p>
    <w:p w:rsidR="00386540" w:rsidRPr="009E2701" w:rsidRDefault="00386540" w:rsidP="00386540">
      <w:pPr>
        <w:jc w:val="both"/>
        <w:rPr>
          <w:rFonts w:ascii="Arial" w:hAnsi="Arial" w:cs="Arial"/>
          <w:b/>
          <w:bCs/>
          <w:sz w:val="22"/>
          <w:szCs w:val="22"/>
        </w:rPr>
      </w:pPr>
      <w:r>
        <w:rPr>
          <w:rFonts w:ascii="Arial" w:hAnsi="Arial" w:cs="Arial"/>
          <w:b/>
          <w:bCs/>
          <w:sz w:val="22"/>
          <w:szCs w:val="22"/>
        </w:rPr>
        <w:t>Tagesordnungspunkt 3:</w:t>
      </w:r>
    </w:p>
    <w:p w:rsidR="00E96541" w:rsidRPr="00E96541" w:rsidRDefault="00E96541" w:rsidP="00E96541">
      <w:pPr>
        <w:tabs>
          <w:tab w:val="left" w:pos="1560"/>
        </w:tabs>
        <w:jc w:val="both"/>
        <w:rPr>
          <w:rFonts w:ascii="Arial" w:hAnsi="Arial"/>
          <w:b/>
          <w:sz w:val="22"/>
        </w:rPr>
      </w:pPr>
      <w:r w:rsidRPr="00E96541">
        <w:rPr>
          <w:rFonts w:ascii="Arial" w:hAnsi="Arial"/>
          <w:b/>
          <w:sz w:val="22"/>
        </w:rPr>
        <w:t xml:space="preserve">Bauantrag </w:t>
      </w:r>
      <w:r>
        <w:rPr>
          <w:rFonts w:ascii="Arial" w:hAnsi="Arial"/>
          <w:b/>
          <w:sz w:val="22"/>
        </w:rPr>
        <w:t>‚T</w:t>
      </w:r>
      <w:r w:rsidRPr="00E96541">
        <w:rPr>
          <w:rFonts w:ascii="Arial" w:hAnsi="Arial"/>
          <w:b/>
          <w:sz w:val="22"/>
        </w:rPr>
        <w:t xml:space="preserve">eilweise Nutzungsänderung </w:t>
      </w:r>
      <w:r w:rsidRPr="00E96541">
        <w:rPr>
          <w:rFonts w:ascii="Arial" w:hAnsi="Arial"/>
          <w:b/>
          <w:sz w:val="22"/>
        </w:rPr>
        <w:t xml:space="preserve">der </w:t>
      </w:r>
      <w:r w:rsidRPr="00E96541">
        <w:rPr>
          <w:rFonts w:ascii="Arial" w:hAnsi="Arial"/>
          <w:b/>
          <w:sz w:val="22"/>
        </w:rPr>
        <w:t>bestehende</w:t>
      </w:r>
      <w:r w:rsidRPr="00E96541">
        <w:rPr>
          <w:rFonts w:ascii="Arial" w:hAnsi="Arial"/>
          <w:b/>
          <w:sz w:val="22"/>
        </w:rPr>
        <w:t>n</w:t>
      </w:r>
      <w:r w:rsidRPr="00E96541">
        <w:rPr>
          <w:rFonts w:ascii="Arial" w:hAnsi="Arial"/>
          <w:b/>
          <w:sz w:val="22"/>
        </w:rPr>
        <w:t xml:space="preserve"> Gaststätte zu </w:t>
      </w:r>
      <w:r>
        <w:rPr>
          <w:rFonts w:ascii="Arial" w:hAnsi="Arial"/>
          <w:b/>
          <w:sz w:val="22"/>
        </w:rPr>
        <w:t xml:space="preserve">einer </w:t>
      </w:r>
      <w:r w:rsidRPr="00E96541">
        <w:rPr>
          <w:rFonts w:ascii="Arial" w:hAnsi="Arial"/>
          <w:b/>
          <w:sz w:val="22"/>
        </w:rPr>
        <w:t>Spielhalle</w:t>
      </w:r>
      <w:r>
        <w:rPr>
          <w:rFonts w:ascii="Arial" w:hAnsi="Arial"/>
          <w:b/>
          <w:sz w:val="22"/>
        </w:rPr>
        <w:t>‘</w:t>
      </w:r>
    </w:p>
    <w:p w:rsidR="00E96541" w:rsidRDefault="00E96541" w:rsidP="00386540">
      <w:pPr>
        <w:jc w:val="both"/>
        <w:rPr>
          <w:rFonts w:ascii="Arial" w:hAnsi="Arial" w:cs="Arial"/>
          <w:bCs/>
          <w:sz w:val="22"/>
          <w:szCs w:val="22"/>
        </w:rPr>
      </w:pPr>
    </w:p>
    <w:p w:rsidR="00386540" w:rsidRDefault="00386540" w:rsidP="00386540">
      <w:pPr>
        <w:jc w:val="both"/>
        <w:rPr>
          <w:rFonts w:ascii="Arial" w:hAnsi="Arial" w:cs="Arial"/>
          <w:bCs/>
          <w:sz w:val="22"/>
          <w:szCs w:val="22"/>
          <w:u w:val="single"/>
        </w:rPr>
      </w:pPr>
      <w:r w:rsidRPr="009E2701">
        <w:rPr>
          <w:rFonts w:ascii="Arial" w:hAnsi="Arial" w:cs="Arial"/>
          <w:bCs/>
          <w:sz w:val="22"/>
          <w:szCs w:val="22"/>
          <w:u w:val="single"/>
        </w:rPr>
        <w:t xml:space="preserve">I. Sachvortrag </w:t>
      </w:r>
    </w:p>
    <w:p w:rsidR="00E96541" w:rsidRDefault="00E96541" w:rsidP="00E96541">
      <w:pPr>
        <w:tabs>
          <w:tab w:val="left" w:pos="1560"/>
        </w:tabs>
        <w:jc w:val="both"/>
        <w:rPr>
          <w:rFonts w:ascii="Arial" w:hAnsi="Arial"/>
          <w:sz w:val="22"/>
        </w:rPr>
      </w:pPr>
      <w:r>
        <w:rPr>
          <w:rFonts w:ascii="Arial" w:hAnsi="Arial"/>
          <w:sz w:val="22"/>
        </w:rPr>
        <w:t>Bauvorhaben</w:t>
      </w:r>
      <w:r>
        <w:rPr>
          <w:rFonts w:ascii="Arial" w:hAnsi="Arial"/>
          <w:sz w:val="22"/>
        </w:rPr>
        <w:tab/>
        <w:t>: Teilweise Nutzungsänderung bestehende Gaststätte zu Spielhalle</w:t>
      </w:r>
    </w:p>
    <w:p w:rsidR="00E96541" w:rsidRDefault="00E96541" w:rsidP="00E96541">
      <w:pPr>
        <w:tabs>
          <w:tab w:val="left" w:pos="1560"/>
        </w:tabs>
        <w:jc w:val="both"/>
        <w:rPr>
          <w:rFonts w:ascii="Arial" w:hAnsi="Arial"/>
          <w:sz w:val="22"/>
        </w:rPr>
      </w:pPr>
      <w:r>
        <w:rPr>
          <w:rFonts w:ascii="Arial" w:hAnsi="Arial"/>
          <w:sz w:val="22"/>
        </w:rPr>
        <w:t>Bauort</w:t>
      </w:r>
      <w:r>
        <w:rPr>
          <w:rFonts w:ascii="Arial" w:hAnsi="Arial"/>
          <w:sz w:val="22"/>
        </w:rPr>
        <w:tab/>
        <w:t xml:space="preserve">: </w:t>
      </w:r>
      <w:proofErr w:type="spellStart"/>
      <w:r>
        <w:rPr>
          <w:rFonts w:ascii="Arial" w:hAnsi="Arial"/>
          <w:sz w:val="22"/>
        </w:rPr>
        <w:t>Flst</w:t>
      </w:r>
      <w:proofErr w:type="spellEnd"/>
      <w:r>
        <w:rPr>
          <w:rFonts w:ascii="Arial" w:hAnsi="Arial"/>
          <w:sz w:val="22"/>
        </w:rPr>
        <w:t>. Nr. 10 der Gemarkung Frickingen (</w:t>
      </w:r>
      <w:proofErr w:type="spellStart"/>
      <w:r>
        <w:rPr>
          <w:rFonts w:ascii="Arial" w:hAnsi="Arial"/>
          <w:sz w:val="22"/>
        </w:rPr>
        <w:t>Altheimer</w:t>
      </w:r>
      <w:proofErr w:type="spellEnd"/>
      <w:r>
        <w:rPr>
          <w:rFonts w:ascii="Arial" w:hAnsi="Arial"/>
          <w:sz w:val="22"/>
        </w:rPr>
        <w:t xml:space="preserve"> Straße 2)</w:t>
      </w:r>
    </w:p>
    <w:p w:rsidR="00E96541" w:rsidRDefault="00E96541" w:rsidP="00E96541">
      <w:pPr>
        <w:tabs>
          <w:tab w:val="left" w:pos="1560"/>
        </w:tabs>
        <w:jc w:val="both"/>
        <w:rPr>
          <w:rFonts w:ascii="Arial" w:hAnsi="Arial"/>
          <w:sz w:val="22"/>
        </w:rPr>
      </w:pPr>
      <w:r>
        <w:rPr>
          <w:rFonts w:ascii="Arial" w:hAnsi="Arial"/>
          <w:sz w:val="22"/>
        </w:rPr>
        <w:t>Vorschriften</w:t>
      </w:r>
      <w:r>
        <w:rPr>
          <w:rFonts w:ascii="Arial" w:hAnsi="Arial"/>
          <w:sz w:val="22"/>
        </w:rPr>
        <w:tab/>
        <w:t xml:space="preserve">: </w:t>
      </w:r>
      <w:proofErr w:type="spellStart"/>
      <w:r>
        <w:rPr>
          <w:rFonts w:ascii="Arial" w:hAnsi="Arial"/>
          <w:sz w:val="22"/>
        </w:rPr>
        <w:t>Unbeplanter</w:t>
      </w:r>
      <w:proofErr w:type="spellEnd"/>
      <w:r>
        <w:rPr>
          <w:rFonts w:ascii="Arial" w:hAnsi="Arial"/>
          <w:sz w:val="22"/>
        </w:rPr>
        <w:t xml:space="preserve"> Innenbereich (§ 34 BauGB)</w:t>
      </w:r>
    </w:p>
    <w:p w:rsidR="00E96541" w:rsidRDefault="00E96541" w:rsidP="00E96541">
      <w:pPr>
        <w:tabs>
          <w:tab w:val="left" w:pos="1560"/>
        </w:tabs>
        <w:jc w:val="both"/>
        <w:rPr>
          <w:rFonts w:ascii="Arial" w:hAnsi="Arial"/>
          <w:sz w:val="22"/>
        </w:rPr>
      </w:pPr>
      <w:r>
        <w:rPr>
          <w:rFonts w:ascii="Arial" w:hAnsi="Arial"/>
          <w:sz w:val="22"/>
        </w:rPr>
        <w:t>Nachbareinwendungen: liegen vor</w:t>
      </w:r>
    </w:p>
    <w:p w:rsidR="00E96541" w:rsidRDefault="00E96541" w:rsidP="00E96541">
      <w:pPr>
        <w:tabs>
          <w:tab w:val="left" w:pos="1560"/>
        </w:tabs>
        <w:jc w:val="both"/>
        <w:rPr>
          <w:rFonts w:ascii="Arial" w:hAnsi="Arial"/>
          <w:sz w:val="22"/>
        </w:rPr>
      </w:pPr>
      <w:r>
        <w:rPr>
          <w:rFonts w:ascii="Arial" w:hAnsi="Arial"/>
          <w:sz w:val="22"/>
        </w:rPr>
        <w:t>Erschließung</w:t>
      </w:r>
      <w:r>
        <w:rPr>
          <w:rFonts w:ascii="Arial" w:hAnsi="Arial"/>
          <w:sz w:val="22"/>
        </w:rPr>
        <w:tab/>
        <w:t>: gesichert</w:t>
      </w:r>
    </w:p>
    <w:p w:rsidR="00E96541" w:rsidRDefault="00E96541" w:rsidP="00E96541">
      <w:pPr>
        <w:tabs>
          <w:tab w:val="left" w:pos="1560"/>
        </w:tabs>
        <w:jc w:val="both"/>
        <w:rPr>
          <w:rFonts w:ascii="Arial" w:hAnsi="Arial"/>
          <w:sz w:val="22"/>
        </w:rPr>
      </w:pPr>
    </w:p>
    <w:p w:rsidR="00E96541" w:rsidRDefault="00E96541" w:rsidP="00E96541">
      <w:pPr>
        <w:tabs>
          <w:tab w:val="left" w:pos="1560"/>
        </w:tabs>
        <w:jc w:val="both"/>
        <w:rPr>
          <w:rFonts w:ascii="Arial" w:hAnsi="Arial"/>
          <w:sz w:val="22"/>
        </w:rPr>
      </w:pPr>
      <w:r>
        <w:rPr>
          <w:rFonts w:ascii="Arial" w:hAnsi="Arial"/>
          <w:sz w:val="22"/>
        </w:rPr>
        <w:t xml:space="preserve">100 m² der bestehenden Gaststätte sollen zur Spielhalle </w:t>
      </w:r>
      <w:proofErr w:type="spellStart"/>
      <w:r>
        <w:rPr>
          <w:rFonts w:ascii="Arial" w:hAnsi="Arial"/>
          <w:sz w:val="22"/>
        </w:rPr>
        <w:t>umgenutzt</w:t>
      </w:r>
      <w:proofErr w:type="spellEnd"/>
      <w:r>
        <w:rPr>
          <w:rFonts w:ascii="Arial" w:hAnsi="Arial"/>
          <w:sz w:val="22"/>
        </w:rPr>
        <w:t xml:space="preserve"> werden.</w:t>
      </w:r>
    </w:p>
    <w:p w:rsidR="00E96541" w:rsidRDefault="00E96541" w:rsidP="00E96541">
      <w:pPr>
        <w:tabs>
          <w:tab w:val="left" w:pos="1560"/>
        </w:tabs>
        <w:jc w:val="both"/>
        <w:rPr>
          <w:rFonts w:ascii="Arial" w:hAnsi="Arial"/>
          <w:sz w:val="22"/>
        </w:rPr>
      </w:pPr>
    </w:p>
    <w:p w:rsidR="00E96541" w:rsidRDefault="00E96541" w:rsidP="00E96541">
      <w:pPr>
        <w:tabs>
          <w:tab w:val="left" w:pos="1560"/>
        </w:tabs>
        <w:jc w:val="both"/>
        <w:rPr>
          <w:rFonts w:ascii="Arial" w:hAnsi="Arial"/>
          <w:sz w:val="22"/>
        </w:rPr>
      </w:pPr>
      <w:r>
        <w:rPr>
          <w:rFonts w:ascii="Arial" w:hAnsi="Arial"/>
          <w:sz w:val="22"/>
        </w:rPr>
        <w:t xml:space="preserve">Von </w:t>
      </w:r>
      <w:r>
        <w:rPr>
          <w:rFonts w:ascii="Arial" w:hAnsi="Arial"/>
          <w:sz w:val="22"/>
        </w:rPr>
        <w:t xml:space="preserve">sehr </w:t>
      </w:r>
      <w:r>
        <w:rPr>
          <w:rFonts w:ascii="Arial" w:hAnsi="Arial"/>
          <w:sz w:val="22"/>
        </w:rPr>
        <w:t>vielen Anwohnern</w:t>
      </w:r>
      <w:r>
        <w:rPr>
          <w:rFonts w:ascii="Arial" w:hAnsi="Arial"/>
          <w:sz w:val="22"/>
        </w:rPr>
        <w:t xml:space="preserve"> und Nachbarn</w:t>
      </w:r>
      <w:r>
        <w:rPr>
          <w:rFonts w:ascii="Arial" w:hAnsi="Arial"/>
          <w:sz w:val="22"/>
        </w:rPr>
        <w:t xml:space="preserve"> w</w:t>
      </w:r>
      <w:r>
        <w:rPr>
          <w:rFonts w:ascii="Arial" w:hAnsi="Arial"/>
          <w:sz w:val="22"/>
        </w:rPr>
        <w:t>urden</w:t>
      </w:r>
      <w:r>
        <w:rPr>
          <w:rFonts w:ascii="Arial" w:hAnsi="Arial"/>
          <w:sz w:val="22"/>
        </w:rPr>
        <w:t xml:space="preserve"> deshalb </w:t>
      </w:r>
      <w:r>
        <w:rPr>
          <w:rFonts w:ascii="Arial" w:hAnsi="Arial"/>
          <w:sz w:val="22"/>
        </w:rPr>
        <w:t xml:space="preserve">erhebliche </w:t>
      </w:r>
      <w:r>
        <w:rPr>
          <w:rFonts w:ascii="Arial" w:hAnsi="Arial"/>
          <w:sz w:val="22"/>
        </w:rPr>
        <w:t>Einwendungen vorgebracht. Befürchtet wird u. a. zusätzlicher Lärm und zusätzliche nächtliche Ruhestörungen. Zudem seien zu wenig Parkplätze vorhanden. Das Vorhaben passe nicht zum Erholungsort Frickingen. Kritisch wird auch die Nähe zur Bushaltestelle, zum Seniorenwohnheim, zu den Kindergärten</w:t>
      </w:r>
      <w:r>
        <w:rPr>
          <w:rFonts w:ascii="Arial" w:hAnsi="Arial"/>
          <w:sz w:val="22"/>
        </w:rPr>
        <w:t xml:space="preserve"> und</w:t>
      </w:r>
      <w:r>
        <w:rPr>
          <w:rFonts w:ascii="Arial" w:hAnsi="Arial"/>
          <w:sz w:val="22"/>
        </w:rPr>
        <w:t xml:space="preserve"> der Grundschule gesehen. Manche Anwohner befürchten </w:t>
      </w:r>
      <w:r>
        <w:rPr>
          <w:rFonts w:ascii="Arial" w:hAnsi="Arial"/>
          <w:sz w:val="22"/>
        </w:rPr>
        <w:t xml:space="preserve">auch </w:t>
      </w:r>
      <w:r>
        <w:rPr>
          <w:rFonts w:ascii="Arial" w:hAnsi="Arial"/>
          <w:sz w:val="22"/>
        </w:rPr>
        <w:t>ein gewisses Verführungspotential für Jugendliche.</w:t>
      </w:r>
    </w:p>
    <w:p w:rsidR="00E96541" w:rsidRDefault="00E96541" w:rsidP="00E96541">
      <w:pPr>
        <w:tabs>
          <w:tab w:val="left" w:pos="1560"/>
        </w:tabs>
        <w:jc w:val="both"/>
        <w:rPr>
          <w:rFonts w:ascii="Arial" w:hAnsi="Arial"/>
          <w:sz w:val="22"/>
        </w:rPr>
      </w:pPr>
    </w:p>
    <w:p w:rsidR="00E96541" w:rsidRDefault="00E96541" w:rsidP="00E96541">
      <w:pPr>
        <w:tabs>
          <w:tab w:val="left" w:pos="1560"/>
        </w:tabs>
        <w:jc w:val="both"/>
        <w:rPr>
          <w:rFonts w:ascii="Arial" w:hAnsi="Arial"/>
          <w:sz w:val="22"/>
        </w:rPr>
      </w:pPr>
      <w:r>
        <w:rPr>
          <w:rFonts w:ascii="Arial" w:hAnsi="Arial"/>
          <w:sz w:val="22"/>
        </w:rPr>
        <w:t xml:space="preserve">Die Baurechtsbehörde geht nach einer ersten Einschätzung </w:t>
      </w:r>
      <w:r>
        <w:rPr>
          <w:rFonts w:ascii="Arial" w:hAnsi="Arial"/>
          <w:sz w:val="22"/>
        </w:rPr>
        <w:t xml:space="preserve">des Vorhabens </w:t>
      </w:r>
      <w:r>
        <w:rPr>
          <w:rFonts w:ascii="Arial" w:hAnsi="Arial"/>
          <w:sz w:val="22"/>
        </w:rPr>
        <w:t>davon aus, dass das Bauvorhaben in einem Gebiet realisiert werden soll, dessen direkte Umgebung den Charakter eines allgemeinen Wohngebiets (WA) aufweist. Das Bauvorhaben wäre in diesem Fall als nicht genehmigungsfähig anzusehen. Zudem sprechen auch denkmalschutzrechtliche Belange gegen das Vorhaben.</w:t>
      </w:r>
    </w:p>
    <w:p w:rsidR="00E96541" w:rsidRDefault="00E96541" w:rsidP="00E96541">
      <w:pPr>
        <w:tabs>
          <w:tab w:val="left" w:pos="1560"/>
        </w:tabs>
        <w:jc w:val="both"/>
        <w:rPr>
          <w:rFonts w:ascii="Arial" w:hAnsi="Arial"/>
          <w:sz w:val="22"/>
        </w:rPr>
      </w:pPr>
    </w:p>
    <w:p w:rsidR="00E96541" w:rsidRDefault="00E96541" w:rsidP="00E96541">
      <w:pPr>
        <w:tabs>
          <w:tab w:val="left" w:pos="1560"/>
        </w:tabs>
        <w:jc w:val="both"/>
        <w:rPr>
          <w:rFonts w:ascii="Arial" w:hAnsi="Arial"/>
          <w:sz w:val="22"/>
        </w:rPr>
      </w:pPr>
      <w:r>
        <w:rPr>
          <w:rFonts w:ascii="Arial" w:hAnsi="Arial"/>
          <w:sz w:val="22"/>
        </w:rPr>
        <w:t>Dieser Auffassung schließt sich die Gemeindeverwaltung an.</w:t>
      </w:r>
    </w:p>
    <w:p w:rsidR="00E96541" w:rsidRDefault="00E96541" w:rsidP="00E96541">
      <w:pPr>
        <w:tabs>
          <w:tab w:val="left" w:pos="1560"/>
        </w:tabs>
        <w:jc w:val="both"/>
        <w:rPr>
          <w:rFonts w:ascii="Arial" w:hAnsi="Arial"/>
          <w:sz w:val="22"/>
        </w:rPr>
      </w:pPr>
    </w:p>
    <w:p w:rsidR="00E96541" w:rsidRDefault="00E96541" w:rsidP="00E96541">
      <w:pPr>
        <w:tabs>
          <w:tab w:val="left" w:pos="1560"/>
        </w:tabs>
        <w:jc w:val="both"/>
        <w:rPr>
          <w:rFonts w:ascii="Arial" w:hAnsi="Arial"/>
          <w:sz w:val="22"/>
        </w:rPr>
      </w:pPr>
    </w:p>
    <w:p w:rsidR="00E96541" w:rsidRPr="00E96541" w:rsidRDefault="00E96541" w:rsidP="00E96541">
      <w:pPr>
        <w:tabs>
          <w:tab w:val="left" w:pos="1560"/>
        </w:tabs>
        <w:jc w:val="both"/>
        <w:rPr>
          <w:rFonts w:ascii="Arial" w:hAnsi="Arial"/>
          <w:sz w:val="22"/>
          <w:u w:val="single"/>
        </w:rPr>
      </w:pPr>
      <w:r w:rsidRPr="00E96541">
        <w:rPr>
          <w:rFonts w:ascii="Arial" w:hAnsi="Arial"/>
          <w:sz w:val="22"/>
          <w:u w:val="single"/>
        </w:rPr>
        <w:t xml:space="preserve">II. </w:t>
      </w:r>
      <w:r w:rsidRPr="00E96541">
        <w:rPr>
          <w:rFonts w:ascii="Arial" w:hAnsi="Arial"/>
          <w:sz w:val="22"/>
          <w:u w:val="single"/>
        </w:rPr>
        <w:t>Beschlussvorschlag</w:t>
      </w:r>
    </w:p>
    <w:p w:rsidR="00E96541" w:rsidRDefault="00E96541" w:rsidP="00E96541">
      <w:pPr>
        <w:tabs>
          <w:tab w:val="left" w:pos="1560"/>
        </w:tabs>
        <w:jc w:val="both"/>
        <w:rPr>
          <w:rFonts w:ascii="Arial" w:hAnsi="Arial"/>
          <w:sz w:val="22"/>
        </w:rPr>
      </w:pPr>
      <w:r>
        <w:rPr>
          <w:rFonts w:ascii="Arial" w:hAnsi="Arial"/>
          <w:sz w:val="22"/>
        </w:rPr>
        <w:t>Der Gemeinderat</w:t>
      </w:r>
      <w:r>
        <w:rPr>
          <w:rFonts w:ascii="Arial" w:hAnsi="Arial"/>
          <w:sz w:val="22"/>
        </w:rPr>
        <w:t xml:space="preserve"> möge dem Vorhaben deshalb das gemeindliche Einvernehmen nach § 36 BauGB versagen.</w:t>
      </w:r>
    </w:p>
    <w:p w:rsidR="00E96541" w:rsidRDefault="00E96541" w:rsidP="00E96541">
      <w:pPr>
        <w:tabs>
          <w:tab w:val="left" w:pos="1560"/>
        </w:tabs>
        <w:jc w:val="both"/>
        <w:rPr>
          <w:rFonts w:ascii="Arial" w:hAnsi="Arial"/>
          <w:sz w:val="22"/>
        </w:rPr>
      </w:pPr>
    </w:p>
    <w:p w:rsidR="00E96541" w:rsidRDefault="00E96541" w:rsidP="00E96541">
      <w:pPr>
        <w:tabs>
          <w:tab w:val="left" w:pos="1560"/>
        </w:tabs>
        <w:jc w:val="both"/>
        <w:rPr>
          <w:rFonts w:ascii="Arial" w:hAnsi="Arial"/>
          <w:sz w:val="22"/>
        </w:rPr>
      </w:pPr>
    </w:p>
    <w:p w:rsidR="00E96541" w:rsidRPr="00E96541" w:rsidRDefault="00E96541" w:rsidP="00E96541">
      <w:pPr>
        <w:tabs>
          <w:tab w:val="left" w:pos="1560"/>
        </w:tabs>
        <w:jc w:val="both"/>
        <w:rPr>
          <w:rFonts w:ascii="Arial" w:hAnsi="Arial"/>
          <w:sz w:val="22"/>
          <w:u w:val="single"/>
        </w:rPr>
      </w:pPr>
      <w:r w:rsidRPr="00E96541">
        <w:rPr>
          <w:rFonts w:ascii="Arial" w:hAnsi="Arial"/>
          <w:sz w:val="22"/>
          <w:u w:val="single"/>
        </w:rPr>
        <w:t>III. Anlagen</w:t>
      </w:r>
    </w:p>
    <w:p w:rsidR="00E96541" w:rsidRDefault="00E96541" w:rsidP="00E96541">
      <w:pPr>
        <w:tabs>
          <w:tab w:val="left" w:pos="1560"/>
        </w:tabs>
        <w:jc w:val="both"/>
        <w:rPr>
          <w:rFonts w:ascii="Arial" w:hAnsi="Arial"/>
          <w:sz w:val="22"/>
        </w:rPr>
      </w:pPr>
      <w:r>
        <w:rPr>
          <w:rFonts w:ascii="Arial" w:hAnsi="Arial"/>
          <w:sz w:val="22"/>
        </w:rPr>
        <w:t>Bauantrag (zeichnerischer Teil)</w:t>
      </w:r>
    </w:p>
    <w:p w:rsidR="00E96541" w:rsidRDefault="00E96541" w:rsidP="00E96541">
      <w:pPr>
        <w:tabs>
          <w:tab w:val="left" w:pos="1560"/>
        </w:tabs>
        <w:jc w:val="both"/>
        <w:rPr>
          <w:rFonts w:ascii="Arial" w:hAnsi="Arial"/>
          <w:sz w:val="22"/>
        </w:rPr>
      </w:pPr>
    </w:p>
    <w:p w:rsidR="00E96541" w:rsidRDefault="00E96541" w:rsidP="00386540">
      <w:pPr>
        <w:jc w:val="both"/>
        <w:rPr>
          <w:rFonts w:ascii="Arial" w:hAnsi="Arial" w:cs="Arial"/>
          <w:bCs/>
          <w:sz w:val="22"/>
          <w:szCs w:val="22"/>
          <w:u w:val="single"/>
        </w:rPr>
      </w:pPr>
    </w:p>
    <w:sectPr w:rsidR="00E96541" w:rsidSect="00101C33">
      <w:pgSz w:w="11906" w:h="16838" w:code="9"/>
      <w:pgMar w:top="1418" w:right="1418" w:bottom="1134" w:left="1418" w:header="709" w:footer="709" w:gutter="0"/>
      <w:paperSrc w:first="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ldface PS">
    <w:altName w:val="Cambria"/>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017A1D"/>
    <w:multiLevelType w:val="hybridMultilevel"/>
    <w:tmpl w:val="92E4E156"/>
    <w:lvl w:ilvl="0" w:tplc="CBD06CE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9151301"/>
    <w:multiLevelType w:val="hybridMultilevel"/>
    <w:tmpl w:val="9B602DCE"/>
    <w:lvl w:ilvl="0" w:tplc="CBD06CE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540"/>
    <w:rsid w:val="000A1FDB"/>
    <w:rsid w:val="00101C33"/>
    <w:rsid w:val="00113151"/>
    <w:rsid w:val="001E4786"/>
    <w:rsid w:val="00320E35"/>
    <w:rsid w:val="00386540"/>
    <w:rsid w:val="003F69FC"/>
    <w:rsid w:val="00551829"/>
    <w:rsid w:val="00727A5E"/>
    <w:rsid w:val="007A0101"/>
    <w:rsid w:val="008F45FE"/>
    <w:rsid w:val="009E29DC"/>
    <w:rsid w:val="00A33D2E"/>
    <w:rsid w:val="00A95A23"/>
    <w:rsid w:val="00BB3142"/>
    <w:rsid w:val="00C15458"/>
    <w:rsid w:val="00CF62B0"/>
    <w:rsid w:val="00D85AAE"/>
    <w:rsid w:val="00E96541"/>
    <w:rsid w:val="00F12D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44C68"/>
  <w15:chartTrackingRefBased/>
  <w15:docId w15:val="{E0CD22A5-EF53-4231-9CE7-A955E0DC8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86540"/>
    <w:pPr>
      <w:overflowPunct w:val="0"/>
      <w:autoSpaceDE w:val="0"/>
      <w:autoSpaceDN w:val="0"/>
      <w:adjustRightInd w:val="0"/>
      <w:spacing w:after="0" w:line="240" w:lineRule="auto"/>
      <w:textAlignment w:val="baseline"/>
    </w:pPr>
    <w:rPr>
      <w:rFonts w:ascii="Boldface PS" w:eastAsia="Times New Roman" w:hAnsi="Boldface PS"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86540"/>
    <w:pPr>
      <w:ind w:left="708"/>
    </w:pPr>
    <w:rPr>
      <w:rFonts w:ascii="Courier" w:hAnsi="Courier"/>
      <w:sz w:val="24"/>
    </w:rPr>
  </w:style>
  <w:style w:type="paragraph" w:styleId="Sprechblasentext">
    <w:name w:val="Balloon Text"/>
    <w:basedOn w:val="Standard"/>
    <w:link w:val="SprechblasentextZchn"/>
    <w:uiPriority w:val="99"/>
    <w:semiHidden/>
    <w:unhideWhenUsed/>
    <w:rsid w:val="00CF62B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F62B0"/>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CD6573-9270-4B15-915C-095BBAB7E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1370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Vollstaedt | Gemeinde Frickingen</dc:creator>
  <cp:keywords/>
  <dc:description/>
  <cp:lastModifiedBy>Markus Vollstaedt | Gemeinde Frickingen</cp:lastModifiedBy>
  <cp:revision>4</cp:revision>
  <cp:lastPrinted>2019-09-09T07:41:00Z</cp:lastPrinted>
  <dcterms:created xsi:type="dcterms:W3CDTF">2019-09-09T07:12:00Z</dcterms:created>
  <dcterms:modified xsi:type="dcterms:W3CDTF">2019-09-09T12:23:00Z</dcterms:modified>
</cp:coreProperties>
</file>