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71" w:rsidRDefault="00633971" w:rsidP="007E3F42">
      <w:pPr>
        <w:jc w:val="both"/>
        <w:rPr>
          <w:b/>
          <w:bCs/>
        </w:rPr>
      </w:pPr>
    </w:p>
    <w:p w:rsidR="007E3F42" w:rsidRDefault="007E3F42" w:rsidP="007E3F42">
      <w:pPr>
        <w:jc w:val="both"/>
        <w:rPr>
          <w:b/>
          <w:bCs/>
        </w:rPr>
      </w:pPr>
      <w:r>
        <w:rPr>
          <w:b/>
          <w:bCs/>
        </w:rPr>
        <w:t xml:space="preserve">Tagesordnungspunkt </w:t>
      </w:r>
      <w:r w:rsidR="00011CA9">
        <w:rPr>
          <w:b/>
          <w:bCs/>
        </w:rPr>
        <w:t>4</w:t>
      </w:r>
      <w:r>
        <w:rPr>
          <w:b/>
          <w:bCs/>
        </w:rPr>
        <w:t xml:space="preserve">: </w:t>
      </w:r>
    </w:p>
    <w:p w:rsidR="007E3F42" w:rsidRDefault="000D05BC" w:rsidP="007E3F42">
      <w:pPr>
        <w:jc w:val="both"/>
        <w:rPr>
          <w:b/>
        </w:rPr>
      </w:pPr>
      <w:r>
        <w:rPr>
          <w:b/>
        </w:rPr>
        <w:t>Haushaltssatzung mit Haushaltsplan 20</w:t>
      </w:r>
      <w:r w:rsidR="00963BF6">
        <w:rPr>
          <w:b/>
        </w:rPr>
        <w:t>20</w:t>
      </w:r>
      <w:r>
        <w:rPr>
          <w:b/>
        </w:rPr>
        <w:t xml:space="preserve"> </w:t>
      </w:r>
    </w:p>
    <w:p w:rsidR="000D05BC" w:rsidRPr="000D05BC" w:rsidRDefault="00607BF6" w:rsidP="000D05BC">
      <w:pPr>
        <w:pStyle w:val="Listenabsatz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Entwurf </w:t>
      </w:r>
      <w:r w:rsidR="00963BF6">
        <w:rPr>
          <w:b/>
          <w:bCs/>
        </w:rPr>
        <w:t>Ergebnishaushalt 2020</w:t>
      </w:r>
      <w:r w:rsidR="000D05BC">
        <w:rPr>
          <w:b/>
          <w:bCs/>
        </w:rPr>
        <w:t xml:space="preserve"> </w:t>
      </w:r>
    </w:p>
    <w:p w:rsidR="007E3F42" w:rsidRDefault="007E3F42" w:rsidP="007E3F42"/>
    <w:p w:rsidR="000D05BC" w:rsidRDefault="000D05BC" w:rsidP="007E3F42"/>
    <w:p w:rsidR="007E3F42" w:rsidRDefault="008C11DD" w:rsidP="007E3F42">
      <w:pPr>
        <w:jc w:val="both"/>
        <w:rPr>
          <w:u w:val="single"/>
        </w:rPr>
      </w:pPr>
      <w:r>
        <w:rPr>
          <w:u w:val="single"/>
        </w:rPr>
        <w:t>I</w:t>
      </w:r>
      <w:r w:rsidR="007E3F42">
        <w:rPr>
          <w:u w:val="single"/>
        </w:rPr>
        <w:t>. Sachvortrag</w:t>
      </w:r>
    </w:p>
    <w:p w:rsidR="00175153" w:rsidRDefault="00175153" w:rsidP="00175153">
      <w:pPr>
        <w:jc w:val="both"/>
      </w:pPr>
      <w:r>
        <w:t xml:space="preserve">Die Gemeinde Frickingen wird zum 01.01.2020 auf die Kommunale Doppik umstellen. </w:t>
      </w:r>
    </w:p>
    <w:p w:rsidR="00175153" w:rsidRDefault="00175153" w:rsidP="00175153">
      <w:pPr>
        <w:jc w:val="both"/>
      </w:pPr>
    </w:p>
    <w:p w:rsidR="00175153" w:rsidRDefault="00175153" w:rsidP="00175153">
      <w:pPr>
        <w:jc w:val="both"/>
      </w:pPr>
      <w:r>
        <w:t>Im Rahmen der Haushaltsplanberatung wird künftig der Ergebnis- und Finanzhaushalt vorgestellt. Erträge und Aufwendungen der laufenden Verwaltungstätigkeit werden zukünftig im Ergebnishaushalt dargestellt. Ein- und Auszahlungen einschließlich der Investitionen werden künft</w:t>
      </w:r>
      <w:r w:rsidR="00DA0581">
        <w:t xml:space="preserve">ig im Finanzhaushalt abgebildet, d.h. die </w:t>
      </w:r>
      <w:r w:rsidR="00C97611">
        <w:t xml:space="preserve">Entwicklung der Liquidität </w:t>
      </w:r>
      <w:r w:rsidR="00DA0581">
        <w:t xml:space="preserve">wird für die laufende Verwaltungstätigkeit und den Investitionsbereich gesondert </w:t>
      </w:r>
      <w:r w:rsidR="00C97611">
        <w:t xml:space="preserve">abgebildet.  </w:t>
      </w:r>
    </w:p>
    <w:p w:rsidR="00175153" w:rsidRDefault="00175153" w:rsidP="00175153">
      <w:pPr>
        <w:jc w:val="both"/>
      </w:pPr>
    </w:p>
    <w:p w:rsidR="004958ED" w:rsidRDefault="004958ED" w:rsidP="004958ED">
      <w:pPr>
        <w:jc w:val="both"/>
      </w:pPr>
      <w:r>
        <w:t>Grundlage für den vorliegenden Entwurf des Ergebnishaushaltes 2020 sind das Rechnungsergebnis 2018, das vorläufige Ergebnis 2019 sowie die Empfehlungen des Finanzplanungsrates und des Innenministeriums zur Haushalts- und Finanzplanung der Gemeinden. Der Haushaltserlass vom 17.10.2019 wurde der Planung zu Grunde gelegt.</w:t>
      </w:r>
    </w:p>
    <w:p w:rsidR="004958ED" w:rsidRDefault="004958ED" w:rsidP="007E3F42">
      <w:pPr>
        <w:jc w:val="both"/>
        <w:rPr>
          <w:color w:val="FF0000"/>
        </w:rPr>
      </w:pPr>
    </w:p>
    <w:p w:rsidR="00175153" w:rsidRDefault="00175153" w:rsidP="0017515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A7437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w</w:t>
      </w:r>
      <w:r w:rsidRPr="00CA7437">
        <w:rPr>
          <w:rFonts w:cs="Arial"/>
          <w:szCs w:val="22"/>
        </w:rPr>
        <w:t xml:space="preserve">irtschaftlichen Rahmendaten, d.h. die Parameter im Finanzausgleich und die Hochrechnungen für die Steueranteile </w:t>
      </w:r>
      <w:r>
        <w:rPr>
          <w:rFonts w:cs="Arial"/>
          <w:szCs w:val="22"/>
        </w:rPr>
        <w:t xml:space="preserve">entwickeln sich </w:t>
      </w:r>
      <w:r w:rsidRPr="00CA7437">
        <w:rPr>
          <w:rFonts w:cs="Arial"/>
          <w:szCs w:val="22"/>
        </w:rPr>
        <w:t>auch für 20</w:t>
      </w:r>
      <w:r>
        <w:rPr>
          <w:rFonts w:cs="Arial"/>
          <w:szCs w:val="22"/>
        </w:rPr>
        <w:t>20</w:t>
      </w:r>
      <w:r w:rsidRPr="00CA74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positiv</w:t>
      </w:r>
      <w:r w:rsidRPr="00CA743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Der Prognose der Steuerschätzer liegt die Annahme zu Grund</w:t>
      </w:r>
      <w:r w:rsidR="00341712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, dass sich die </w:t>
      </w:r>
      <w:r w:rsidR="00341712">
        <w:rPr>
          <w:rFonts w:cs="Arial"/>
          <w:szCs w:val="22"/>
        </w:rPr>
        <w:t xml:space="preserve">gute </w:t>
      </w:r>
      <w:r>
        <w:rPr>
          <w:rFonts w:cs="Arial"/>
          <w:szCs w:val="22"/>
        </w:rPr>
        <w:t xml:space="preserve">wirtschaftliche Entwicklung zwar abschwächt, aber auch im Jahr 2020 fortsetzt. </w:t>
      </w:r>
      <w:r>
        <w:t xml:space="preserve">Die Bundesregierung prognostiziert einen Anstieg des Bruttoinlandsproduktes um real + 0,5 % für das laufende Jahr und für das Jahr 2020 um + 1,0 %. </w:t>
      </w:r>
      <w:r>
        <w:rPr>
          <w:rFonts w:cs="Arial"/>
          <w:szCs w:val="22"/>
        </w:rPr>
        <w:t xml:space="preserve">Folglich ist mit einem steigenden Steueraufkommen bundes- und landesweit zu rechnen. </w:t>
      </w:r>
    </w:p>
    <w:p w:rsidR="00754A85" w:rsidRDefault="00754A85" w:rsidP="007E3F42">
      <w:pPr>
        <w:jc w:val="both"/>
      </w:pPr>
    </w:p>
    <w:p w:rsidR="00956314" w:rsidRDefault="00175153" w:rsidP="00175153">
      <w:pPr>
        <w:jc w:val="both"/>
      </w:pPr>
      <w:r>
        <w:t xml:space="preserve">Der Ergebnishaushalt 2020 ist stark geprägt von hohen Umlagezahlungen an das Land und den Landkreis in Folge des überdurchschnittlichen Rechnungsergebnisses 2018. Zudem sind </w:t>
      </w:r>
      <w:r w:rsidR="00341712">
        <w:t xml:space="preserve">in der kommunalen Doppik </w:t>
      </w:r>
      <w:r>
        <w:t>erstmals die gesamten Abschreibunge</w:t>
      </w:r>
      <w:r w:rsidR="00341712">
        <w:t xml:space="preserve">n umfänglich zu erwirtschaften, was sich </w:t>
      </w:r>
      <w:r w:rsidR="00956314">
        <w:t xml:space="preserve">entsprechend </w:t>
      </w:r>
      <w:r w:rsidR="00341712">
        <w:t xml:space="preserve">auf den Haushaltsausgleich auswirkt. </w:t>
      </w:r>
    </w:p>
    <w:p w:rsidR="00701F82" w:rsidRDefault="00956314" w:rsidP="00175153">
      <w:pPr>
        <w:jc w:val="both"/>
      </w:pPr>
      <w:r>
        <w:t xml:space="preserve">Im </w:t>
      </w:r>
      <w:r w:rsidR="00341712">
        <w:t xml:space="preserve">Entwurf des Ergebnishaushaltes </w:t>
      </w:r>
      <w:r w:rsidR="00701F82">
        <w:t xml:space="preserve">2020 muss im </w:t>
      </w:r>
      <w:r w:rsidR="00341712">
        <w:t>sog. „</w:t>
      </w:r>
      <w:r w:rsidR="00701F82">
        <w:t>ordentlichen Ergebni</w:t>
      </w:r>
      <w:r w:rsidR="00341712">
        <w:t>s“</w:t>
      </w:r>
      <w:r w:rsidR="001F0162">
        <w:t xml:space="preserve"> </w:t>
      </w:r>
      <w:r>
        <w:t xml:space="preserve">zunächst </w:t>
      </w:r>
      <w:r w:rsidR="001F0162">
        <w:t xml:space="preserve">ein Fehlbetrag in Höhe von </w:t>
      </w:r>
      <w:r w:rsidR="0045215F">
        <w:t>20</w:t>
      </w:r>
      <w:r w:rsidR="00701F82">
        <w:t xml:space="preserve">0 T€ ausgewiesen werden. Ursächlich hierfür sind die </w:t>
      </w:r>
      <w:r w:rsidR="00042D5B">
        <w:t xml:space="preserve">weiterhin sehr </w:t>
      </w:r>
      <w:r w:rsidR="00701F82">
        <w:t>hohen Umlagezahlungen im Rahmen des kommunalen Finanzausgleichs und die zusätzliche Belastung durch</w:t>
      </w:r>
      <w:r w:rsidR="0045215F">
        <w:t xml:space="preserve"> die „Netto-Abschreibung“ von 53</w:t>
      </w:r>
      <w:r w:rsidR="00701F82">
        <w:t xml:space="preserve">0 T€, die sich wie folgt zusammensetzt: </w:t>
      </w:r>
    </w:p>
    <w:p w:rsidR="00701F82" w:rsidRDefault="00701F82" w:rsidP="00175153">
      <w:pPr>
        <w:jc w:val="both"/>
      </w:pPr>
    </w:p>
    <w:p w:rsidR="004D5348" w:rsidRDefault="004D5348" w:rsidP="007E3F42">
      <w:pPr>
        <w:jc w:val="both"/>
      </w:pPr>
      <w:r>
        <w:t xml:space="preserve">Für das Jahr 2020 wird derzeit mit Abschreibungen in Höhe von </w:t>
      </w:r>
      <w:r w:rsidR="00042D5B">
        <w:t xml:space="preserve">rd. </w:t>
      </w:r>
      <w:r w:rsidR="0045215F">
        <w:t>90</w:t>
      </w:r>
      <w:r w:rsidR="004958ED">
        <w:t>0</w:t>
      </w:r>
      <w:r w:rsidR="004958ED" w:rsidRPr="004958ED">
        <w:t xml:space="preserve"> T</w:t>
      </w:r>
      <w:r w:rsidRPr="004958ED">
        <w:t xml:space="preserve">€ </w:t>
      </w:r>
      <w:r>
        <w:t xml:space="preserve">gerechnet. Hier kann sich allerdings noch eine Verschiebung ergeben, da die Vermögensbewertung noch nicht vollständig abgeschlossen ist. </w:t>
      </w:r>
    </w:p>
    <w:p w:rsidR="00E753F7" w:rsidRDefault="00E753F7" w:rsidP="007E3F42">
      <w:pPr>
        <w:jc w:val="both"/>
      </w:pPr>
    </w:p>
    <w:p w:rsidR="00754A85" w:rsidRDefault="0009263C" w:rsidP="007E3F42">
      <w:pPr>
        <w:jc w:val="both"/>
      </w:pPr>
      <w:r>
        <w:t>Als Auflösung f</w:t>
      </w:r>
      <w:r w:rsidR="004958ED">
        <w:t>ür Investitionszuwendungen und -</w:t>
      </w:r>
      <w:r>
        <w:t>beiträge</w:t>
      </w:r>
      <w:r w:rsidR="004958ED">
        <w:t>n</w:t>
      </w:r>
      <w:r>
        <w:t xml:space="preserve"> können derzeit </w:t>
      </w:r>
      <w:r w:rsidR="004958ED">
        <w:t xml:space="preserve">370 T€ </w:t>
      </w:r>
      <w:r>
        <w:t>angesetzt werden. Auch hier ist die abschließende Vermögensbewertung noch abzuwarten.</w:t>
      </w:r>
    </w:p>
    <w:p w:rsidR="00E753F7" w:rsidRDefault="00E753F7" w:rsidP="007E3F42">
      <w:pPr>
        <w:jc w:val="both"/>
      </w:pPr>
    </w:p>
    <w:p w:rsidR="0009263C" w:rsidRPr="0009263C" w:rsidRDefault="0009263C" w:rsidP="007E3F42">
      <w:pPr>
        <w:jc w:val="both"/>
        <w:rPr>
          <w:color w:val="FF0000"/>
        </w:rPr>
      </w:pPr>
      <w:r>
        <w:t xml:space="preserve">Somit ergibt sich nach derzeitigem Stand eine „Netto-Abschreibung“ von </w:t>
      </w:r>
      <w:r w:rsidR="0045215F">
        <w:t>53</w:t>
      </w:r>
      <w:r w:rsidR="004958ED" w:rsidRPr="004958ED">
        <w:t>0 T</w:t>
      </w:r>
      <w:r w:rsidR="00956314">
        <w:t xml:space="preserve">€, die es zu erwirtschaften gilt. </w:t>
      </w:r>
      <w:r w:rsidRPr="004958ED">
        <w:t xml:space="preserve"> </w:t>
      </w:r>
    </w:p>
    <w:p w:rsidR="0009263C" w:rsidRDefault="0009263C" w:rsidP="007E3F42">
      <w:pPr>
        <w:jc w:val="both"/>
      </w:pPr>
    </w:p>
    <w:p w:rsidR="001F0162" w:rsidRPr="001F0162" w:rsidRDefault="001F0162" w:rsidP="001F0162">
      <w:pPr>
        <w:jc w:val="both"/>
      </w:pPr>
      <w:r>
        <w:t xml:space="preserve">Der o.g. Fehlbetrag im ordentlichen Ergebnis von </w:t>
      </w:r>
      <w:r w:rsidR="0045215F">
        <w:t>200</w:t>
      </w:r>
      <w:r>
        <w:t xml:space="preserve"> T€ ist nicht erfreulich. Daher sollte alles unternommen werden, um beim Jahresabschluss ein ausgeglichenes Ergebnis ausweisen zu können. </w:t>
      </w:r>
      <w:r w:rsidR="00956314">
        <w:t xml:space="preserve">Im Hinblick auf die durchschnittlichen Überschüsse im laufenden Betrieb (Zuführungsrate) der letzten acht Jahre in Höhe von </w:t>
      </w:r>
      <w:r w:rsidR="007718E5">
        <w:t>589</w:t>
      </w:r>
      <w:r w:rsidR="00E753F7">
        <w:t xml:space="preserve"> T€ sollte dies möglich sein. </w:t>
      </w:r>
      <w:r>
        <w:t xml:space="preserve">Die </w:t>
      </w:r>
      <w:r w:rsidRPr="00DD460C">
        <w:rPr>
          <w:rFonts w:cs="Arial"/>
          <w:szCs w:val="22"/>
        </w:rPr>
        <w:t xml:space="preserve">angefangenen Konsolidierungsbemühungen </w:t>
      </w:r>
      <w:r>
        <w:rPr>
          <w:rFonts w:cs="Arial"/>
          <w:szCs w:val="22"/>
        </w:rPr>
        <w:t>sind konsequent fortzusetzen</w:t>
      </w:r>
      <w:r w:rsidR="00956314">
        <w:rPr>
          <w:rFonts w:cs="Arial"/>
          <w:szCs w:val="22"/>
        </w:rPr>
        <w:t xml:space="preserve">. </w:t>
      </w:r>
      <w:r>
        <w:t xml:space="preserve">Ertrags- und Aufwandsseite müssen hierbei gleichermaßen genau unter die Lupe genommen werden. </w:t>
      </w:r>
      <w:r w:rsidR="00891F53">
        <w:t xml:space="preserve">Sollte der Ausgleich im Ergebnis </w:t>
      </w:r>
      <w:r w:rsidR="00956314">
        <w:t xml:space="preserve">dennoch </w:t>
      </w:r>
      <w:r w:rsidR="00891F53">
        <w:t xml:space="preserve">nicht möglich sein, ist die Verrechnung mit dem Basiskapital vorgesehen. </w:t>
      </w:r>
    </w:p>
    <w:p w:rsidR="001F0162" w:rsidRDefault="001F0162" w:rsidP="007E3F42">
      <w:pPr>
        <w:jc w:val="both"/>
      </w:pPr>
    </w:p>
    <w:p w:rsidR="00C97611" w:rsidRDefault="00956314" w:rsidP="007E3F42">
      <w:pPr>
        <w:jc w:val="both"/>
      </w:pPr>
      <w:r>
        <w:t>Zunächst weist d</w:t>
      </w:r>
      <w:r w:rsidR="00BC2D64">
        <w:t xml:space="preserve">as ordentliche Ergebnis für die laufende Verwaltungstätigkeit </w:t>
      </w:r>
      <w:r w:rsidR="00E015B0">
        <w:t xml:space="preserve">im Finanzhaushalt </w:t>
      </w:r>
      <w:r w:rsidR="00BC2D64">
        <w:t>einen Fi</w:t>
      </w:r>
      <w:r w:rsidR="00F17201">
        <w:t xml:space="preserve">nanzierungsüberschuss von </w:t>
      </w:r>
      <w:r>
        <w:t xml:space="preserve">lediglich </w:t>
      </w:r>
      <w:r w:rsidR="0045215F">
        <w:t>28</w:t>
      </w:r>
      <w:r w:rsidR="00BC2D64">
        <w:t xml:space="preserve">0 T€ aus, der mit der </w:t>
      </w:r>
      <w:r>
        <w:t xml:space="preserve">bisherigen </w:t>
      </w:r>
      <w:r w:rsidR="00BC2D64">
        <w:t xml:space="preserve">Zuführungsrate vergleichbar ist (Plan 2019: 79 T€). </w:t>
      </w:r>
      <w:r w:rsidR="00C97611">
        <w:t>Somit werden im Haushaltsjahr 202</w:t>
      </w:r>
      <w:r w:rsidR="00F17201">
        <w:t>0 für die Tilgungsleistungen (80</w:t>
      </w:r>
      <w:r w:rsidR="00C97611">
        <w:t xml:space="preserve"> T€) ausreichend Mittel erwirtschaftet.</w:t>
      </w:r>
    </w:p>
    <w:p w:rsidR="00BC2D64" w:rsidRDefault="00BC2D64" w:rsidP="007E3F42">
      <w:pPr>
        <w:jc w:val="both"/>
      </w:pPr>
    </w:p>
    <w:p w:rsidR="00453577" w:rsidRPr="00453577" w:rsidRDefault="00453577" w:rsidP="0045357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t xml:space="preserve">Im Vergleich zum Vorjahr nehmen die </w:t>
      </w:r>
      <w:r w:rsidR="00F17201">
        <w:t xml:space="preserve">zahlungswirksamen Erträge um </w:t>
      </w:r>
      <w:r w:rsidR="0045215F">
        <w:t>289</w:t>
      </w:r>
      <w:r>
        <w:t xml:space="preserve"> T€ zu. Da die zahlungswirksamen Auf</w:t>
      </w:r>
      <w:r w:rsidR="0045215F">
        <w:t>wendungen ebenfalls steigen (+88</w:t>
      </w:r>
      <w:r>
        <w:t xml:space="preserve"> T€)</w:t>
      </w:r>
      <w:r w:rsidR="0045215F">
        <w:t>, ergibt sich ein Saldo von + 20</w:t>
      </w:r>
      <w:r w:rsidR="00F17201">
        <w:t>1</w:t>
      </w:r>
      <w:r>
        <w:t xml:space="preserve"> T€. </w:t>
      </w:r>
      <w:r w:rsidRPr="00453577">
        <w:rPr>
          <w:rFonts w:cs="Arial"/>
          <w:szCs w:val="22"/>
        </w:rPr>
        <w:t xml:space="preserve">Nachfolgend sind die wesentlichen Entwicklungen genannt: </w:t>
      </w:r>
    </w:p>
    <w:p w:rsidR="00C97611" w:rsidRDefault="00C97611" w:rsidP="007E3F42">
      <w:pPr>
        <w:jc w:val="both"/>
      </w:pPr>
    </w:p>
    <w:p w:rsidR="00453577" w:rsidRPr="00453577" w:rsidRDefault="00453577" w:rsidP="007E3F42">
      <w:pPr>
        <w:jc w:val="both"/>
      </w:pPr>
      <w:r>
        <w:t xml:space="preserve">Auf der Ertragsseite wirken sich vor allem die deutlich steigenden Schlüsselzuweisungen (+230 T€) </w:t>
      </w:r>
      <w:r w:rsidR="00E015B0">
        <w:t xml:space="preserve">maßgeblich </w:t>
      </w:r>
      <w:r>
        <w:t xml:space="preserve">auf das Gesamtergebnis aus. Ursächlich für diese erfreuliche Entwicklung ist zum einen der Anstieg des Grundkopfbetrages um </w:t>
      </w:r>
      <w:r w:rsidR="00E015B0">
        <w:t>46</w:t>
      </w:r>
      <w:r>
        <w:t xml:space="preserve"> €/Einwohne</w:t>
      </w:r>
      <w:r w:rsidR="00E015B0">
        <w:t>r (EW) auf 1.450</w:t>
      </w:r>
      <w:r>
        <w:t xml:space="preserve"> €/EW. Darüber hinaus</w:t>
      </w:r>
      <w:r w:rsidR="002241B4">
        <w:t xml:space="preserve"> wirkt sich die </w:t>
      </w:r>
      <w:r w:rsidR="001E2054">
        <w:t xml:space="preserve">leicht rückgängige </w:t>
      </w:r>
      <w:r w:rsidR="002241B4">
        <w:t xml:space="preserve">Steuerkraft 2018 positiv bei der Berechnung der </w:t>
      </w:r>
      <w:r w:rsidR="00956314">
        <w:t>Schlüsselz</w:t>
      </w:r>
      <w:r w:rsidR="002241B4">
        <w:t>uweisung</w:t>
      </w:r>
      <w:r w:rsidR="00956314">
        <w:t>e</w:t>
      </w:r>
      <w:bookmarkStart w:id="0" w:name="_GoBack"/>
      <w:bookmarkEnd w:id="0"/>
      <w:r w:rsidR="00956314">
        <w:t>n</w:t>
      </w:r>
      <w:r w:rsidR="002241B4">
        <w:t xml:space="preserve"> aus. </w:t>
      </w:r>
      <w:r>
        <w:t xml:space="preserve">     </w:t>
      </w:r>
    </w:p>
    <w:p w:rsidR="007E3F42" w:rsidRDefault="007E3F42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8505C7" w:rsidRPr="008505C7" w:rsidRDefault="008505C7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8505C7">
        <w:rPr>
          <w:rFonts w:cs="Arial"/>
          <w:szCs w:val="22"/>
        </w:rPr>
        <w:t xml:space="preserve">Bei der </w:t>
      </w:r>
      <w:r w:rsidR="000E0FC7">
        <w:rPr>
          <w:rFonts w:cs="Arial"/>
          <w:szCs w:val="22"/>
        </w:rPr>
        <w:t xml:space="preserve">kommunalen </w:t>
      </w:r>
      <w:r w:rsidRPr="008505C7">
        <w:rPr>
          <w:rFonts w:cs="Arial"/>
          <w:szCs w:val="22"/>
        </w:rPr>
        <w:t xml:space="preserve">Investitionspauschale wird der Kopfbetrag um 7 € reduziert und beträgt nunmehr lediglich 84 € </w:t>
      </w:r>
      <w:r w:rsidR="000E0FC7">
        <w:rPr>
          <w:rFonts w:cs="Arial"/>
          <w:szCs w:val="22"/>
        </w:rPr>
        <w:t xml:space="preserve">pro </w:t>
      </w:r>
      <w:r w:rsidRPr="008505C7">
        <w:rPr>
          <w:rFonts w:cs="Arial"/>
          <w:szCs w:val="22"/>
        </w:rPr>
        <w:t xml:space="preserve">gewichtetem Einwohner. Für die Gemeinde bedeutet dies Mindererträge in Höhe von 22 T€.  </w:t>
      </w:r>
    </w:p>
    <w:p w:rsidR="008505C7" w:rsidRDefault="008505C7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D76E25" w:rsidRPr="00EE464D" w:rsidRDefault="00D76E25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EE464D">
        <w:rPr>
          <w:rFonts w:cs="Arial"/>
          <w:szCs w:val="22"/>
        </w:rPr>
        <w:t xml:space="preserve">Die Landeszuweisungen im Kindergartenbereich </w:t>
      </w:r>
      <w:r w:rsidR="001E2054">
        <w:rPr>
          <w:rFonts w:cs="Arial"/>
          <w:szCs w:val="22"/>
        </w:rPr>
        <w:t xml:space="preserve">steigen </w:t>
      </w:r>
      <w:r w:rsidRPr="00EE464D">
        <w:rPr>
          <w:rFonts w:cs="Arial"/>
          <w:szCs w:val="22"/>
        </w:rPr>
        <w:t xml:space="preserve">um 16 T€ </w:t>
      </w:r>
      <w:r w:rsidR="001E2054">
        <w:rPr>
          <w:rFonts w:cs="Arial"/>
          <w:szCs w:val="22"/>
        </w:rPr>
        <w:t>auf 176 T€</w:t>
      </w:r>
      <w:r w:rsidRPr="00EE464D">
        <w:rPr>
          <w:rFonts w:cs="Arial"/>
          <w:szCs w:val="22"/>
        </w:rPr>
        <w:t xml:space="preserve">, wohingegen die Zuweisungen für die betreuten Kleinkinder merklich um 53 T€ </w:t>
      </w:r>
      <w:r w:rsidR="009B4A70">
        <w:rPr>
          <w:rFonts w:cs="Arial"/>
          <w:szCs w:val="22"/>
        </w:rPr>
        <w:t xml:space="preserve">auf 146 T€ </w:t>
      </w:r>
      <w:r w:rsidRPr="00EE464D">
        <w:rPr>
          <w:rFonts w:cs="Arial"/>
          <w:szCs w:val="22"/>
        </w:rPr>
        <w:t xml:space="preserve">sinken, weil am Stichtag (01.03.2019) </w:t>
      </w:r>
      <w:r w:rsidR="001E2054">
        <w:rPr>
          <w:rFonts w:cs="Arial"/>
          <w:szCs w:val="22"/>
        </w:rPr>
        <w:t>fünf U3-</w:t>
      </w:r>
      <w:r w:rsidRPr="00EE464D">
        <w:rPr>
          <w:rFonts w:cs="Arial"/>
          <w:szCs w:val="22"/>
        </w:rPr>
        <w:t xml:space="preserve">Kinder </w:t>
      </w:r>
      <w:r w:rsidR="001E2054">
        <w:rPr>
          <w:rFonts w:cs="Arial"/>
          <w:szCs w:val="22"/>
        </w:rPr>
        <w:t xml:space="preserve">weniger </w:t>
      </w:r>
      <w:r w:rsidRPr="00EE464D">
        <w:rPr>
          <w:rFonts w:cs="Arial"/>
          <w:szCs w:val="22"/>
        </w:rPr>
        <w:t xml:space="preserve">betreut wurden als </w:t>
      </w:r>
      <w:r w:rsidR="00FA73DB">
        <w:rPr>
          <w:rFonts w:cs="Arial"/>
          <w:szCs w:val="22"/>
        </w:rPr>
        <w:t>zum Vorjahreszeitpunkt</w:t>
      </w:r>
      <w:r w:rsidRPr="00EE464D">
        <w:rPr>
          <w:rFonts w:cs="Arial"/>
          <w:szCs w:val="22"/>
        </w:rPr>
        <w:t xml:space="preserve">.  </w:t>
      </w:r>
    </w:p>
    <w:p w:rsidR="00EE464D" w:rsidRDefault="00EE464D" w:rsidP="00EE464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EE464D" w:rsidRPr="001C2CCC" w:rsidRDefault="00EE464D" w:rsidP="00EE464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1C2CCC">
        <w:rPr>
          <w:rFonts w:cs="Arial"/>
          <w:szCs w:val="22"/>
        </w:rPr>
        <w:t>Bei der Berechnung der einzelnen Steuerzuweisungen wurde von einer fortgeschriebenen Einwohnerzahl von 3.011 Einwohnern zum 30.06.2019 (Vorjahr: 2.99</w:t>
      </w:r>
      <w:r>
        <w:rPr>
          <w:rFonts w:cs="Arial"/>
          <w:szCs w:val="22"/>
        </w:rPr>
        <w:t>0</w:t>
      </w:r>
      <w:r w:rsidRPr="001C2CCC">
        <w:rPr>
          <w:rFonts w:cs="Arial"/>
          <w:szCs w:val="22"/>
        </w:rPr>
        <w:t xml:space="preserve">) ausgegangen. </w:t>
      </w:r>
    </w:p>
    <w:p w:rsidR="00EE464D" w:rsidRDefault="00EE464D" w:rsidP="00EE464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EE464D" w:rsidRDefault="00EE464D" w:rsidP="00EE464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Im Bereich des Gemeindeanteils an der Einkommensteuer wird mit einem Wert von 7,010 Mrd. € (Vorjahr: 6,980 Mrd. €) für die Kommunen in Baden-Württemberg gerechnet. In absoluten Zahlen bedeutet dies einen geringfügen Anstieg um 8 T€ auf 1,916 Mio. €. </w:t>
      </w:r>
    </w:p>
    <w:p w:rsidR="001E2054" w:rsidRPr="008505C7" w:rsidRDefault="001E2054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8505C7">
        <w:rPr>
          <w:rFonts w:cs="Arial"/>
          <w:szCs w:val="22"/>
        </w:rPr>
        <w:t xml:space="preserve">Bei der Umsatzsteuer wird ein landesweites Steueraufkommen von </w:t>
      </w:r>
      <w:r w:rsidR="008505C7" w:rsidRPr="008505C7">
        <w:rPr>
          <w:rFonts w:cs="Arial"/>
          <w:szCs w:val="22"/>
        </w:rPr>
        <w:t xml:space="preserve">1,033 Mrd. € (Vorjahr: 1,012 Mrd. €) prognostiziert, was für die Gemeinde Frickingen einen geringfügigen Anstieg um 4 T€ auf 172 T€ bedeutet. </w:t>
      </w:r>
    </w:p>
    <w:p w:rsidR="001E2054" w:rsidRDefault="001E2054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EE464D" w:rsidRPr="00EE464D" w:rsidRDefault="00EE464D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Aufgrund des schwankenden Aufkommens und der </w:t>
      </w:r>
      <w:r w:rsidRPr="00EE464D">
        <w:rPr>
          <w:rFonts w:cs="Arial"/>
          <w:szCs w:val="22"/>
        </w:rPr>
        <w:t xml:space="preserve">gesamtwirtschaftlichen Abkühlung wurde der Ansatz für die Gewerbesteuererträge </w:t>
      </w:r>
      <w:r w:rsidR="00F17201">
        <w:rPr>
          <w:rFonts w:cs="Arial"/>
          <w:szCs w:val="22"/>
        </w:rPr>
        <w:t>(</w:t>
      </w:r>
      <w:r w:rsidR="0045215F">
        <w:rPr>
          <w:rFonts w:cs="Arial"/>
          <w:szCs w:val="22"/>
        </w:rPr>
        <w:t>90</w:t>
      </w:r>
      <w:r>
        <w:rPr>
          <w:rFonts w:cs="Arial"/>
          <w:szCs w:val="22"/>
        </w:rPr>
        <w:t>0 T€)</w:t>
      </w:r>
      <w:r w:rsidRPr="00EE464D">
        <w:rPr>
          <w:rFonts w:cs="Arial"/>
          <w:szCs w:val="22"/>
        </w:rPr>
        <w:t xml:space="preserve"> </w:t>
      </w:r>
      <w:r w:rsidR="0045215F">
        <w:rPr>
          <w:rFonts w:cs="Arial"/>
          <w:szCs w:val="22"/>
        </w:rPr>
        <w:t xml:space="preserve">trotz höherer Rechnungsergebnisse in den letzten Vorjahren </w:t>
      </w:r>
      <w:r w:rsidRPr="00EE464D">
        <w:rPr>
          <w:rFonts w:cs="Arial"/>
          <w:szCs w:val="22"/>
        </w:rPr>
        <w:t xml:space="preserve">erneut </w:t>
      </w:r>
      <w:r>
        <w:rPr>
          <w:rFonts w:cs="Arial"/>
          <w:szCs w:val="22"/>
        </w:rPr>
        <w:t xml:space="preserve">eher </w:t>
      </w:r>
      <w:r w:rsidRPr="00EE464D">
        <w:rPr>
          <w:rFonts w:cs="Arial"/>
          <w:szCs w:val="22"/>
        </w:rPr>
        <w:t xml:space="preserve">vorsichtig und </w:t>
      </w:r>
      <w:r w:rsidR="000E0FC7">
        <w:rPr>
          <w:rFonts w:cs="Arial"/>
          <w:szCs w:val="22"/>
        </w:rPr>
        <w:t xml:space="preserve">damit </w:t>
      </w:r>
      <w:r w:rsidRPr="00EE464D">
        <w:rPr>
          <w:rFonts w:cs="Arial"/>
          <w:szCs w:val="22"/>
        </w:rPr>
        <w:t>verantwortungsvoll veranschlagt (</w:t>
      </w:r>
      <w:r>
        <w:rPr>
          <w:rFonts w:cs="Arial"/>
          <w:szCs w:val="22"/>
        </w:rPr>
        <w:t>2019: 780 T</w:t>
      </w:r>
      <w:r w:rsidRPr="00EE464D">
        <w:rPr>
          <w:rFonts w:cs="Arial"/>
          <w:szCs w:val="22"/>
        </w:rPr>
        <w:t xml:space="preserve">€).  </w:t>
      </w:r>
    </w:p>
    <w:p w:rsidR="00EE464D" w:rsidRDefault="00EE464D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8505C7" w:rsidRPr="008505C7" w:rsidRDefault="008505C7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8505C7">
        <w:rPr>
          <w:rFonts w:cs="Arial"/>
          <w:szCs w:val="22"/>
        </w:rPr>
        <w:t xml:space="preserve">Aufgrund der schwierigen Vermarktungslage wird mit einem Rückgang der Gesamterträge im Gemeindewald um 18 T€ auf 217 T€ gerechnet. Bei prognostizierten Aufwendungen von 212 T€ liegt das planerische Ergebnis des Waldes daher bei 5 T€.  </w:t>
      </w:r>
    </w:p>
    <w:p w:rsidR="008505C7" w:rsidRDefault="008505C7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EE464D" w:rsidRPr="00EE464D" w:rsidRDefault="00EF08E2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Alle weiteren Ertragsgruppen</w:t>
      </w:r>
      <w:r w:rsidR="00EE464D" w:rsidRPr="00EE46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Ergebnishaushalt verzeichnen nur recht geringfügige Abweichungen gegenüber den Vorjahreswerten</w:t>
      </w:r>
      <w:r w:rsidR="00EE464D" w:rsidRPr="00EE464D">
        <w:rPr>
          <w:rFonts w:cs="Arial"/>
          <w:szCs w:val="22"/>
        </w:rPr>
        <w:t xml:space="preserve">. </w:t>
      </w:r>
    </w:p>
    <w:p w:rsidR="00BA503F" w:rsidRDefault="00BA503F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4A17E9" w:rsidRPr="004F3C93" w:rsidRDefault="00EE464D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Die Aufwandsseite </w:t>
      </w:r>
      <w:r w:rsidR="00476FBC">
        <w:rPr>
          <w:rFonts w:cs="Arial"/>
          <w:szCs w:val="22"/>
        </w:rPr>
        <w:t xml:space="preserve">des Ergebnishaushalts </w:t>
      </w:r>
      <w:r>
        <w:rPr>
          <w:rFonts w:cs="Arial"/>
          <w:szCs w:val="22"/>
        </w:rPr>
        <w:t xml:space="preserve">ist ebenfalls durch das sehr gute Ergebnis 2018 stark belastet. Die Umlagezahlungen verharren auf einem </w:t>
      </w:r>
      <w:r w:rsidR="00476FBC">
        <w:rPr>
          <w:rFonts w:cs="Arial"/>
          <w:szCs w:val="22"/>
        </w:rPr>
        <w:t xml:space="preserve">schmerzhaft </w:t>
      </w:r>
      <w:r>
        <w:rPr>
          <w:rFonts w:cs="Arial"/>
          <w:szCs w:val="22"/>
        </w:rPr>
        <w:t xml:space="preserve">hohen Niveau. Während die FAG-Umlage an das Land um 32 T€ </w:t>
      </w:r>
      <w:r w:rsidR="009B4A70">
        <w:rPr>
          <w:rFonts w:cs="Arial"/>
          <w:szCs w:val="22"/>
        </w:rPr>
        <w:t xml:space="preserve">auf 918 T€ </w:t>
      </w:r>
      <w:r>
        <w:rPr>
          <w:rFonts w:cs="Arial"/>
          <w:szCs w:val="22"/>
        </w:rPr>
        <w:t xml:space="preserve">sinkt, steigt die Kreisumlage um 28 T€ </w:t>
      </w:r>
      <w:r w:rsidR="009B4A70">
        <w:rPr>
          <w:rFonts w:cs="Arial"/>
          <w:szCs w:val="22"/>
        </w:rPr>
        <w:t xml:space="preserve">auf 1.304 T€ </w:t>
      </w:r>
      <w:r>
        <w:rPr>
          <w:rFonts w:cs="Arial"/>
          <w:szCs w:val="22"/>
        </w:rPr>
        <w:t xml:space="preserve">an.  </w:t>
      </w:r>
      <w:r w:rsidR="008A7A1E" w:rsidRPr="008A7A1E">
        <w:rPr>
          <w:rFonts w:cs="Arial"/>
          <w:szCs w:val="22"/>
        </w:rPr>
        <w:t>Bei der Kreisumlage wird für 2020 mit einem</w:t>
      </w:r>
      <w:r w:rsidR="004A17E9">
        <w:rPr>
          <w:rFonts w:cs="Arial"/>
          <w:szCs w:val="22"/>
        </w:rPr>
        <w:t xml:space="preserve"> Hebesatz von 32,00 % gerechnet. </w:t>
      </w:r>
      <w:r w:rsidR="004F3C93" w:rsidRPr="004F3C93">
        <w:rPr>
          <w:rFonts w:cs="Arial"/>
          <w:szCs w:val="22"/>
        </w:rPr>
        <w:t xml:space="preserve">Der Kreistag wird am 17. Dezember 2019 den Kreishaushalt beschließen und dabei den Hebesatz der Kreisumlage endgültig festlegen.  </w:t>
      </w:r>
    </w:p>
    <w:p w:rsidR="004F3C93" w:rsidRDefault="004F3C93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EE464D" w:rsidRPr="001C2CCC" w:rsidRDefault="00EE464D" w:rsidP="00EE464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Der Hebesatz der Gewerbesteuerumlage soll sich von 64 % auf 35 % reduzieren. Dadurch geht die Umlage </w:t>
      </w:r>
      <w:r w:rsidR="009B4A70">
        <w:rPr>
          <w:rFonts w:cs="Arial"/>
          <w:szCs w:val="22"/>
        </w:rPr>
        <w:t xml:space="preserve">an das Land </w:t>
      </w:r>
      <w:r w:rsidR="00B775E3">
        <w:rPr>
          <w:rFonts w:cs="Arial"/>
          <w:szCs w:val="22"/>
        </w:rPr>
        <w:t xml:space="preserve">spürbar </w:t>
      </w:r>
      <w:r>
        <w:rPr>
          <w:rFonts w:cs="Arial"/>
          <w:szCs w:val="22"/>
        </w:rPr>
        <w:t>um 7</w:t>
      </w:r>
      <w:r w:rsidR="00F17201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T€ </w:t>
      </w:r>
      <w:r w:rsidR="00B775E3">
        <w:rPr>
          <w:rFonts w:cs="Arial"/>
          <w:szCs w:val="22"/>
        </w:rPr>
        <w:t xml:space="preserve">auf einen Betrag von </w:t>
      </w:r>
      <w:r w:rsidR="00F17201">
        <w:rPr>
          <w:rFonts w:cs="Arial"/>
          <w:szCs w:val="22"/>
        </w:rPr>
        <w:t>81</w:t>
      </w:r>
      <w:r w:rsidR="00B775E3">
        <w:rPr>
          <w:rFonts w:cs="Arial"/>
          <w:szCs w:val="22"/>
        </w:rPr>
        <w:t xml:space="preserve"> T€ </w:t>
      </w:r>
      <w:r>
        <w:rPr>
          <w:rFonts w:cs="Arial"/>
          <w:szCs w:val="22"/>
        </w:rPr>
        <w:t xml:space="preserve">zurück.  </w:t>
      </w:r>
    </w:p>
    <w:p w:rsidR="00146D0E" w:rsidRPr="001C2CCC" w:rsidRDefault="00146D0E" w:rsidP="00DF33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18629E" w:rsidRPr="004F3C93" w:rsidRDefault="00146D0E" w:rsidP="00146D0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4F3C93">
        <w:rPr>
          <w:rFonts w:cs="Arial"/>
          <w:szCs w:val="22"/>
        </w:rPr>
        <w:lastRenderedPageBreak/>
        <w:t xml:space="preserve">Die Personalkosten </w:t>
      </w:r>
      <w:r w:rsidR="00A65095" w:rsidRPr="004F3C93">
        <w:rPr>
          <w:rFonts w:cs="Arial"/>
          <w:szCs w:val="22"/>
        </w:rPr>
        <w:t xml:space="preserve">steigen </w:t>
      </w:r>
      <w:r w:rsidRPr="004F3C93">
        <w:rPr>
          <w:rFonts w:cs="Arial"/>
          <w:szCs w:val="22"/>
        </w:rPr>
        <w:t xml:space="preserve">um </w:t>
      </w:r>
      <w:r w:rsidR="004F3C93" w:rsidRPr="004F3C93">
        <w:rPr>
          <w:rFonts w:cs="Arial"/>
          <w:szCs w:val="22"/>
        </w:rPr>
        <w:t>97</w:t>
      </w:r>
      <w:r w:rsidRPr="004F3C93">
        <w:rPr>
          <w:rFonts w:cs="Arial"/>
          <w:szCs w:val="22"/>
        </w:rPr>
        <w:t xml:space="preserve"> T€ (</w:t>
      </w:r>
      <w:r w:rsidR="00A02DD3">
        <w:rPr>
          <w:rFonts w:cs="Arial"/>
          <w:szCs w:val="22"/>
        </w:rPr>
        <w:t xml:space="preserve">+ </w:t>
      </w:r>
      <w:r w:rsidR="004F3C93" w:rsidRPr="004F3C93">
        <w:rPr>
          <w:rFonts w:cs="Arial"/>
          <w:szCs w:val="22"/>
        </w:rPr>
        <w:t>6,0</w:t>
      </w:r>
      <w:r w:rsidRPr="004F3C93">
        <w:rPr>
          <w:rFonts w:cs="Arial"/>
          <w:szCs w:val="22"/>
        </w:rPr>
        <w:t xml:space="preserve"> %) auf 1,</w:t>
      </w:r>
      <w:r w:rsidR="004F3C93" w:rsidRPr="004F3C93">
        <w:rPr>
          <w:rFonts w:cs="Arial"/>
          <w:szCs w:val="22"/>
        </w:rPr>
        <w:t xml:space="preserve">720 </w:t>
      </w:r>
      <w:r w:rsidRPr="004F3C93">
        <w:rPr>
          <w:rFonts w:cs="Arial"/>
          <w:szCs w:val="22"/>
        </w:rPr>
        <w:t>Mio. €</w:t>
      </w:r>
      <w:r w:rsidR="00D80496" w:rsidRPr="004F3C93">
        <w:rPr>
          <w:rFonts w:cs="Arial"/>
          <w:szCs w:val="22"/>
        </w:rPr>
        <w:t xml:space="preserve">. Die Zunahme ist im Wesentlichen auf den Abschluss des Tarifvertrages 2018 zurückzuführen, der Entgelterhöhungen </w:t>
      </w:r>
      <w:r w:rsidR="00A65095" w:rsidRPr="004F3C93">
        <w:rPr>
          <w:rFonts w:cs="Arial"/>
          <w:szCs w:val="22"/>
        </w:rPr>
        <w:t xml:space="preserve">für die Beschäftigten </w:t>
      </w:r>
      <w:r w:rsidR="00D80496" w:rsidRPr="004F3C93">
        <w:rPr>
          <w:rFonts w:cs="Arial"/>
          <w:szCs w:val="22"/>
        </w:rPr>
        <w:t xml:space="preserve">in drei Stufen </w:t>
      </w:r>
      <w:r w:rsidR="004F3C93" w:rsidRPr="004F3C93">
        <w:rPr>
          <w:rFonts w:cs="Arial"/>
          <w:szCs w:val="22"/>
        </w:rPr>
        <w:t xml:space="preserve">vorsieht </w:t>
      </w:r>
      <w:r w:rsidR="00D80496" w:rsidRPr="004F3C93">
        <w:rPr>
          <w:rFonts w:cs="Arial"/>
          <w:szCs w:val="22"/>
        </w:rPr>
        <w:t xml:space="preserve">(+ mind. 2,85 % zum 01.03.2018, + mind. 2,81 % zum 01.04.2019 und </w:t>
      </w:r>
      <w:r w:rsidR="0018629E" w:rsidRPr="004F3C93">
        <w:rPr>
          <w:rFonts w:cs="Arial"/>
          <w:szCs w:val="22"/>
        </w:rPr>
        <w:t xml:space="preserve">+ mind. </w:t>
      </w:r>
      <w:r w:rsidR="00D80496" w:rsidRPr="004F3C93">
        <w:rPr>
          <w:rFonts w:cs="Arial"/>
          <w:szCs w:val="22"/>
        </w:rPr>
        <w:t>0,96 %</w:t>
      </w:r>
      <w:r w:rsidR="0018629E" w:rsidRPr="004F3C93">
        <w:rPr>
          <w:rFonts w:cs="Arial"/>
          <w:szCs w:val="22"/>
        </w:rPr>
        <w:t xml:space="preserve"> zum 01.03.2020</w:t>
      </w:r>
      <w:r w:rsidR="00A65095" w:rsidRPr="004F3C93">
        <w:rPr>
          <w:rFonts w:cs="Arial"/>
          <w:szCs w:val="22"/>
        </w:rPr>
        <w:t>)</w:t>
      </w:r>
      <w:r w:rsidR="00D80496" w:rsidRPr="004F3C93">
        <w:rPr>
          <w:rFonts w:cs="Arial"/>
          <w:szCs w:val="22"/>
        </w:rPr>
        <w:t>.</w:t>
      </w:r>
      <w:r w:rsidR="004F3C93" w:rsidRPr="004F3C93">
        <w:rPr>
          <w:rFonts w:cs="Arial"/>
          <w:szCs w:val="22"/>
        </w:rPr>
        <w:t xml:space="preserve"> Der gültige Tarifvertrag hat eine Laufzeit bis zum 31.08.2020. Anschließend wurde eine 1-prozentige Steigerung der Planung zu Grunde gelegt.  </w:t>
      </w:r>
      <w:r w:rsidR="00D80496" w:rsidRPr="004F3C93">
        <w:rPr>
          <w:rFonts w:cs="Arial"/>
          <w:szCs w:val="22"/>
        </w:rPr>
        <w:t xml:space="preserve"> </w:t>
      </w:r>
    </w:p>
    <w:p w:rsidR="004F3C93" w:rsidRDefault="004F3C93" w:rsidP="00146D0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622469" w:rsidRPr="00622469" w:rsidRDefault="00C174D6" w:rsidP="00146D0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174D6">
        <w:rPr>
          <w:rFonts w:cs="Arial"/>
          <w:szCs w:val="22"/>
        </w:rPr>
        <w:t>Für die Beschäftigten im Sozial- und Erziehungsdienst betragen die Steigerungen + 3,11 % zum 01.03.2018, + 3,02 % zum 01.04.2019 und + 1,03 % zum 01.03.2020. Der Tarifve</w:t>
      </w:r>
      <w:r>
        <w:rPr>
          <w:rFonts w:cs="Arial"/>
          <w:szCs w:val="22"/>
        </w:rPr>
        <w:t xml:space="preserve">rtrag gilt </w:t>
      </w:r>
      <w:r w:rsidR="00A02DD3">
        <w:rPr>
          <w:rFonts w:cs="Arial"/>
          <w:szCs w:val="22"/>
        </w:rPr>
        <w:t xml:space="preserve">ebenfalls </w:t>
      </w:r>
      <w:r>
        <w:rPr>
          <w:rFonts w:cs="Arial"/>
          <w:szCs w:val="22"/>
        </w:rPr>
        <w:t xml:space="preserve">bis zum 31.08.2020. </w:t>
      </w:r>
      <w:r w:rsidR="00622469" w:rsidRPr="00622469">
        <w:rPr>
          <w:rFonts w:cs="Arial"/>
          <w:szCs w:val="22"/>
        </w:rPr>
        <w:t xml:space="preserve">Bei der Beamtenbesoldung wurde </w:t>
      </w:r>
      <w:r w:rsidR="00622469">
        <w:rPr>
          <w:rFonts w:cs="Arial"/>
          <w:szCs w:val="22"/>
        </w:rPr>
        <w:t>die vom Land festgelegt</w:t>
      </w:r>
      <w:r w:rsidR="00A02DD3">
        <w:rPr>
          <w:rFonts w:cs="Arial"/>
          <w:szCs w:val="22"/>
        </w:rPr>
        <w:t>e</w:t>
      </w:r>
      <w:r w:rsidR="00622469">
        <w:rPr>
          <w:rFonts w:cs="Arial"/>
          <w:szCs w:val="22"/>
        </w:rPr>
        <w:t xml:space="preserve"> </w:t>
      </w:r>
      <w:r w:rsidR="00622469" w:rsidRPr="00622469">
        <w:rPr>
          <w:rFonts w:cs="Arial"/>
          <w:szCs w:val="22"/>
        </w:rPr>
        <w:t xml:space="preserve">Steigerung </w:t>
      </w:r>
      <w:r w:rsidR="00622469">
        <w:rPr>
          <w:rFonts w:cs="Arial"/>
          <w:szCs w:val="22"/>
        </w:rPr>
        <w:t xml:space="preserve">um 3,2 Prozentpunkte </w:t>
      </w:r>
      <w:r>
        <w:rPr>
          <w:rFonts w:cs="Arial"/>
          <w:szCs w:val="22"/>
        </w:rPr>
        <w:t xml:space="preserve">zum 01.01.2020 eingepreist. Zudem wurde </w:t>
      </w:r>
      <w:r w:rsidR="00A02DD3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Schaffung einer 30</w:t>
      </w:r>
      <w:r w:rsidR="00A02DD3">
        <w:rPr>
          <w:rFonts w:cs="Arial"/>
          <w:szCs w:val="22"/>
        </w:rPr>
        <w:t>%</w:t>
      </w:r>
      <w:r>
        <w:rPr>
          <w:rFonts w:cs="Arial"/>
          <w:szCs w:val="22"/>
        </w:rPr>
        <w:t>-Stelle im Bereich der Schulsozialarbeit</w:t>
      </w:r>
      <w:r w:rsidR="00A02DD3">
        <w:rPr>
          <w:rFonts w:cs="Arial"/>
          <w:szCs w:val="22"/>
        </w:rPr>
        <w:t xml:space="preserve"> ab März 2020 berücksichtigt, über die der Gemeinderat noch zu entscheiden hat. </w:t>
      </w:r>
      <w:r>
        <w:rPr>
          <w:rFonts w:cs="Arial"/>
          <w:szCs w:val="22"/>
        </w:rPr>
        <w:t xml:space="preserve"> </w:t>
      </w:r>
    </w:p>
    <w:p w:rsidR="00C174D6" w:rsidRDefault="00C174D6" w:rsidP="00F7350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C174D6" w:rsidRPr="00C174D6" w:rsidRDefault="00A02DD3" w:rsidP="00F7350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Aufgrund der </w:t>
      </w:r>
      <w:r w:rsidRPr="00C174D6">
        <w:rPr>
          <w:rFonts w:cs="Arial"/>
          <w:szCs w:val="22"/>
        </w:rPr>
        <w:t>tatsächlichen Auszahlungen der Vorjahre</w:t>
      </w:r>
      <w:r>
        <w:rPr>
          <w:rFonts w:cs="Arial"/>
          <w:szCs w:val="22"/>
        </w:rPr>
        <w:t xml:space="preserve"> wurden die </w:t>
      </w:r>
      <w:r w:rsidR="00C174D6" w:rsidRPr="00C174D6">
        <w:rPr>
          <w:rFonts w:cs="Arial"/>
          <w:szCs w:val="22"/>
        </w:rPr>
        <w:t xml:space="preserve">einzelnen Ansätze im Bereich des sächlichen Verwaltungs- und Betriebsaufwandes </w:t>
      </w:r>
      <w:r>
        <w:rPr>
          <w:rFonts w:cs="Arial"/>
          <w:szCs w:val="22"/>
        </w:rPr>
        <w:t>gebildet</w:t>
      </w:r>
      <w:r w:rsidR="00C174D6" w:rsidRPr="00C174D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In der Summe bedeutet dies </w:t>
      </w:r>
      <w:r w:rsidR="00C174D6" w:rsidRPr="00C174D6">
        <w:rPr>
          <w:rFonts w:cs="Arial"/>
          <w:szCs w:val="22"/>
        </w:rPr>
        <w:t xml:space="preserve">einen Anstieg um 67 T€ </w:t>
      </w:r>
      <w:r w:rsidR="00C174D6">
        <w:rPr>
          <w:rFonts w:cs="Arial"/>
          <w:szCs w:val="22"/>
        </w:rPr>
        <w:t xml:space="preserve">auf 1.160 T€ (+ </w:t>
      </w:r>
      <w:r w:rsidR="00C174D6" w:rsidRPr="00C174D6">
        <w:rPr>
          <w:rFonts w:cs="Arial"/>
          <w:szCs w:val="22"/>
        </w:rPr>
        <w:t xml:space="preserve">6,2 % </w:t>
      </w:r>
      <w:r w:rsidR="00C174D6">
        <w:rPr>
          <w:rFonts w:cs="Arial"/>
          <w:szCs w:val="22"/>
        </w:rPr>
        <w:t>gg. Vorjahr)</w:t>
      </w:r>
      <w:r w:rsidR="00C174D6" w:rsidRPr="00C174D6">
        <w:rPr>
          <w:rFonts w:cs="Arial"/>
          <w:szCs w:val="22"/>
        </w:rPr>
        <w:t xml:space="preserve">.  </w:t>
      </w:r>
    </w:p>
    <w:p w:rsidR="00C174D6" w:rsidRPr="001C2CCC" w:rsidRDefault="00C174D6" w:rsidP="00F7350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7E3F42" w:rsidRPr="00C174D6" w:rsidRDefault="007E3F42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174D6">
        <w:rPr>
          <w:rFonts w:cs="Arial"/>
          <w:szCs w:val="22"/>
        </w:rPr>
        <w:t>Im Abgleich zur Vorjahresplanung bedeutet di</w:t>
      </w:r>
      <w:r w:rsidR="003411B8" w:rsidRPr="00C174D6">
        <w:rPr>
          <w:rFonts w:cs="Arial"/>
          <w:szCs w:val="22"/>
        </w:rPr>
        <w:t>es</w:t>
      </w:r>
      <w:r w:rsidR="00A02DD3">
        <w:rPr>
          <w:rFonts w:cs="Arial"/>
          <w:szCs w:val="22"/>
        </w:rPr>
        <w:t xml:space="preserve"> insgesamt</w:t>
      </w:r>
      <w:r w:rsidR="003411B8" w:rsidRPr="00C174D6">
        <w:rPr>
          <w:rFonts w:cs="Arial"/>
          <w:szCs w:val="22"/>
        </w:rPr>
        <w:t xml:space="preserve">, dass den </w:t>
      </w:r>
      <w:r w:rsidR="00C174D6" w:rsidRPr="00C174D6">
        <w:rPr>
          <w:rFonts w:cs="Arial"/>
          <w:szCs w:val="22"/>
        </w:rPr>
        <w:t xml:space="preserve">zahlungswirksamen </w:t>
      </w:r>
      <w:r w:rsidR="003411B8" w:rsidRPr="00C174D6">
        <w:rPr>
          <w:rFonts w:cs="Arial"/>
          <w:szCs w:val="22"/>
        </w:rPr>
        <w:t>Mehr</w:t>
      </w:r>
      <w:r w:rsidR="00C174D6" w:rsidRPr="00C174D6">
        <w:rPr>
          <w:rFonts w:cs="Arial"/>
          <w:szCs w:val="22"/>
        </w:rPr>
        <w:t>erträgen v</w:t>
      </w:r>
      <w:r w:rsidR="00C748DA" w:rsidRPr="00C174D6">
        <w:rPr>
          <w:rFonts w:cs="Arial"/>
          <w:szCs w:val="22"/>
        </w:rPr>
        <w:t xml:space="preserve">on </w:t>
      </w:r>
      <w:r w:rsidR="00293DC6">
        <w:rPr>
          <w:rFonts w:cs="Arial"/>
          <w:szCs w:val="22"/>
        </w:rPr>
        <w:t>289</w:t>
      </w:r>
      <w:r w:rsidR="00C174D6" w:rsidRPr="00C174D6">
        <w:rPr>
          <w:rFonts w:cs="Arial"/>
          <w:szCs w:val="22"/>
        </w:rPr>
        <w:t xml:space="preserve"> </w:t>
      </w:r>
      <w:r w:rsidR="008274AE" w:rsidRPr="00C174D6">
        <w:rPr>
          <w:rFonts w:cs="Arial"/>
          <w:szCs w:val="22"/>
        </w:rPr>
        <w:t xml:space="preserve">T€ nicht </w:t>
      </w:r>
      <w:r w:rsidR="00C174D6" w:rsidRPr="00C174D6">
        <w:rPr>
          <w:rFonts w:cs="Arial"/>
          <w:szCs w:val="22"/>
        </w:rPr>
        <w:t xml:space="preserve">bzw. kaum </w:t>
      </w:r>
      <w:r w:rsidR="008274AE" w:rsidRPr="00C174D6">
        <w:rPr>
          <w:rFonts w:cs="Arial"/>
          <w:szCs w:val="22"/>
        </w:rPr>
        <w:t xml:space="preserve">beeinflussbare </w:t>
      </w:r>
      <w:r w:rsidRPr="00C174D6">
        <w:rPr>
          <w:rFonts w:cs="Arial"/>
          <w:szCs w:val="22"/>
        </w:rPr>
        <w:t>Mehr</w:t>
      </w:r>
      <w:r w:rsidR="00C174D6" w:rsidRPr="00C174D6">
        <w:rPr>
          <w:rFonts w:cs="Arial"/>
          <w:szCs w:val="22"/>
        </w:rPr>
        <w:t xml:space="preserve">aufwendungen </w:t>
      </w:r>
      <w:r w:rsidRPr="00C174D6">
        <w:rPr>
          <w:rFonts w:cs="Arial"/>
          <w:szCs w:val="22"/>
        </w:rPr>
        <w:t xml:space="preserve">in Höhe von </w:t>
      </w:r>
      <w:r w:rsidR="00293DC6">
        <w:rPr>
          <w:rFonts w:cs="Arial"/>
          <w:szCs w:val="22"/>
        </w:rPr>
        <w:t>88</w:t>
      </w:r>
      <w:r w:rsidRPr="00C174D6">
        <w:rPr>
          <w:rFonts w:cs="Arial"/>
          <w:szCs w:val="22"/>
        </w:rPr>
        <w:t xml:space="preserve"> T€ gegenüberstehen. </w:t>
      </w:r>
    </w:p>
    <w:p w:rsidR="00E81554" w:rsidRPr="001C2CCC" w:rsidRDefault="00E81554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Cs w:val="22"/>
        </w:rPr>
      </w:pPr>
    </w:p>
    <w:p w:rsidR="007E3F42" w:rsidRPr="001D790D" w:rsidRDefault="00E81554" w:rsidP="007E3F4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1D790D">
        <w:rPr>
          <w:rFonts w:cs="Arial"/>
          <w:szCs w:val="22"/>
        </w:rPr>
        <w:t xml:space="preserve">Daraus ergibt sich eine </w:t>
      </w:r>
      <w:r w:rsidR="007E3F42" w:rsidRPr="001D790D">
        <w:rPr>
          <w:rFonts w:cs="Arial"/>
          <w:szCs w:val="22"/>
        </w:rPr>
        <w:t xml:space="preserve">positive Differenz </w:t>
      </w:r>
      <w:r w:rsidR="00A02DD3">
        <w:rPr>
          <w:rFonts w:cs="Arial"/>
          <w:szCs w:val="22"/>
        </w:rPr>
        <w:t xml:space="preserve">bei den </w:t>
      </w:r>
      <w:r w:rsidR="00C174D6" w:rsidRPr="001D790D">
        <w:rPr>
          <w:rFonts w:cs="Arial"/>
          <w:szCs w:val="22"/>
        </w:rPr>
        <w:t xml:space="preserve">zahlungswirksamen Erträgen und </w:t>
      </w:r>
      <w:r w:rsidR="007E3F42" w:rsidRPr="001D790D">
        <w:rPr>
          <w:rFonts w:cs="Arial"/>
          <w:szCs w:val="22"/>
        </w:rPr>
        <w:t>Au</w:t>
      </w:r>
      <w:r w:rsidR="00C174D6" w:rsidRPr="001D790D">
        <w:rPr>
          <w:rFonts w:cs="Arial"/>
          <w:szCs w:val="22"/>
        </w:rPr>
        <w:t>fwendungen</w:t>
      </w:r>
      <w:r w:rsidR="00A02DD3">
        <w:rPr>
          <w:rFonts w:cs="Arial"/>
          <w:szCs w:val="22"/>
        </w:rPr>
        <w:t>. Dieser sog. „</w:t>
      </w:r>
      <w:r w:rsidR="00C174D6" w:rsidRPr="001D790D">
        <w:rPr>
          <w:rFonts w:cs="Arial"/>
          <w:szCs w:val="22"/>
        </w:rPr>
        <w:t xml:space="preserve">Zahlungsmittelüberschuss aus </w:t>
      </w:r>
      <w:r w:rsidR="00A02DD3">
        <w:rPr>
          <w:rFonts w:cs="Arial"/>
          <w:szCs w:val="22"/>
        </w:rPr>
        <w:t xml:space="preserve">der laufenden </w:t>
      </w:r>
      <w:r w:rsidR="00C174D6" w:rsidRPr="001D790D">
        <w:rPr>
          <w:rFonts w:cs="Arial"/>
          <w:szCs w:val="22"/>
        </w:rPr>
        <w:t>Verwaltungstätigkeit</w:t>
      </w:r>
      <w:r w:rsidR="00A02DD3">
        <w:rPr>
          <w:rFonts w:cs="Arial"/>
          <w:szCs w:val="22"/>
        </w:rPr>
        <w:t>“</w:t>
      </w:r>
      <w:r w:rsidRPr="001D790D">
        <w:rPr>
          <w:rFonts w:cs="Arial"/>
          <w:szCs w:val="22"/>
        </w:rPr>
        <w:t xml:space="preserve"> </w:t>
      </w:r>
      <w:r w:rsidR="00A02DD3">
        <w:rPr>
          <w:rFonts w:cs="Arial"/>
          <w:szCs w:val="22"/>
        </w:rPr>
        <w:t xml:space="preserve">liegt bei einem Wert </w:t>
      </w:r>
      <w:r w:rsidRPr="001D790D">
        <w:rPr>
          <w:rFonts w:cs="Arial"/>
          <w:szCs w:val="22"/>
        </w:rPr>
        <w:t>von +</w:t>
      </w:r>
      <w:r w:rsidR="00A02DD3">
        <w:rPr>
          <w:rFonts w:cs="Arial"/>
          <w:szCs w:val="22"/>
        </w:rPr>
        <w:t xml:space="preserve"> </w:t>
      </w:r>
      <w:r w:rsidR="00293DC6">
        <w:rPr>
          <w:rFonts w:cs="Arial"/>
          <w:szCs w:val="22"/>
        </w:rPr>
        <w:t>28</w:t>
      </w:r>
      <w:r w:rsidR="00C174D6" w:rsidRPr="001D790D">
        <w:rPr>
          <w:rFonts w:cs="Arial"/>
          <w:szCs w:val="22"/>
        </w:rPr>
        <w:t>0 T</w:t>
      </w:r>
      <w:r w:rsidR="007E3F42" w:rsidRPr="001D790D">
        <w:rPr>
          <w:rFonts w:cs="Arial"/>
          <w:szCs w:val="22"/>
        </w:rPr>
        <w:t xml:space="preserve">€ (Vorjahr: + </w:t>
      </w:r>
      <w:r w:rsidR="00C174D6" w:rsidRPr="001D790D">
        <w:rPr>
          <w:rFonts w:cs="Arial"/>
          <w:szCs w:val="22"/>
        </w:rPr>
        <w:t>79 T</w:t>
      </w:r>
      <w:r w:rsidR="007E3F42" w:rsidRPr="001D790D">
        <w:rPr>
          <w:rFonts w:cs="Arial"/>
          <w:szCs w:val="22"/>
        </w:rPr>
        <w:t>€).</w:t>
      </w:r>
      <w:r w:rsidR="008274AE" w:rsidRPr="001D790D">
        <w:rPr>
          <w:rFonts w:cs="Arial"/>
          <w:szCs w:val="22"/>
        </w:rPr>
        <w:t xml:space="preserve"> </w:t>
      </w:r>
      <w:r w:rsidR="001D790D" w:rsidRPr="001D790D">
        <w:rPr>
          <w:rFonts w:cs="Arial"/>
          <w:szCs w:val="22"/>
        </w:rPr>
        <w:t>Neben der De</w:t>
      </w:r>
      <w:r w:rsidR="00F17201">
        <w:rPr>
          <w:rFonts w:cs="Arial"/>
          <w:szCs w:val="22"/>
        </w:rPr>
        <w:t>ckung der Tilgungsleistungen (80</w:t>
      </w:r>
      <w:r w:rsidR="001D790D" w:rsidRPr="001D790D">
        <w:rPr>
          <w:rFonts w:cs="Arial"/>
          <w:szCs w:val="22"/>
        </w:rPr>
        <w:t xml:space="preserve"> T€) kann daher </w:t>
      </w:r>
      <w:r w:rsidR="00A02DD3">
        <w:rPr>
          <w:rFonts w:cs="Arial"/>
          <w:szCs w:val="22"/>
        </w:rPr>
        <w:t xml:space="preserve">lediglich </w:t>
      </w:r>
      <w:r w:rsidR="001D790D" w:rsidRPr="001D790D">
        <w:rPr>
          <w:rFonts w:cs="Arial"/>
          <w:szCs w:val="22"/>
        </w:rPr>
        <w:t xml:space="preserve">ein kleiner </w:t>
      </w:r>
      <w:r w:rsidRPr="001D790D">
        <w:rPr>
          <w:rFonts w:cs="Arial"/>
          <w:szCs w:val="22"/>
        </w:rPr>
        <w:t xml:space="preserve">Beitrag zur Finanzierung der Investitionsausgaben </w:t>
      </w:r>
      <w:r w:rsidR="00A02DD3">
        <w:rPr>
          <w:rFonts w:cs="Arial"/>
          <w:szCs w:val="22"/>
        </w:rPr>
        <w:t>(</w:t>
      </w:r>
      <w:r w:rsidR="00293DC6">
        <w:rPr>
          <w:rFonts w:cs="Arial"/>
          <w:szCs w:val="22"/>
        </w:rPr>
        <w:t>20</w:t>
      </w:r>
      <w:r w:rsidR="00F17201">
        <w:rPr>
          <w:rFonts w:cs="Arial"/>
          <w:szCs w:val="22"/>
        </w:rPr>
        <w:t>0</w:t>
      </w:r>
      <w:r w:rsidR="001D790D" w:rsidRPr="001D790D">
        <w:rPr>
          <w:rFonts w:cs="Arial"/>
          <w:szCs w:val="22"/>
        </w:rPr>
        <w:t xml:space="preserve"> T€) erzielt werden</w:t>
      </w:r>
      <w:r w:rsidRPr="001D790D">
        <w:rPr>
          <w:rFonts w:cs="Arial"/>
          <w:szCs w:val="22"/>
        </w:rPr>
        <w:t xml:space="preserve">. </w:t>
      </w:r>
      <w:r w:rsidR="008274AE" w:rsidRPr="001D790D">
        <w:rPr>
          <w:rFonts w:cs="Arial"/>
          <w:szCs w:val="22"/>
        </w:rPr>
        <w:t xml:space="preserve"> </w:t>
      </w:r>
    </w:p>
    <w:p w:rsidR="00B2500A" w:rsidRDefault="00B2500A" w:rsidP="007E3F42">
      <w:pPr>
        <w:jc w:val="both"/>
        <w:rPr>
          <w:color w:val="FF0000"/>
        </w:rPr>
      </w:pPr>
    </w:p>
    <w:p w:rsidR="00C97611" w:rsidRDefault="00A02DD3" w:rsidP="00C97611">
      <w:pPr>
        <w:jc w:val="both"/>
      </w:pPr>
      <w:r>
        <w:t xml:space="preserve">Ergebnis- und Finanzhaushalt werden entsprechend der vom Gemeinderat am 26.11.2019 beschlossenen </w:t>
      </w:r>
      <w:r w:rsidR="00C97611">
        <w:t xml:space="preserve">neuen Haushaltsstruktur </w:t>
      </w:r>
      <w:r>
        <w:t xml:space="preserve">in den sieben Teilhaushalten und den einzelnen </w:t>
      </w:r>
      <w:r w:rsidR="00C97611">
        <w:t xml:space="preserve">Produktbereichs-, </w:t>
      </w:r>
      <w:r>
        <w:t>Produktgruppen</w:t>
      </w:r>
      <w:r w:rsidR="00C97611">
        <w:t>- oder Kostenstellenebene</w:t>
      </w:r>
      <w:r>
        <w:t>n</w:t>
      </w:r>
      <w:r w:rsidR="00C97611">
        <w:t xml:space="preserve"> dargestellt.</w:t>
      </w:r>
    </w:p>
    <w:p w:rsidR="00C97611" w:rsidRPr="001C2CCC" w:rsidRDefault="00C97611" w:rsidP="007E3F42">
      <w:pPr>
        <w:jc w:val="both"/>
        <w:rPr>
          <w:color w:val="FF0000"/>
        </w:rPr>
      </w:pPr>
    </w:p>
    <w:p w:rsidR="007E3F42" w:rsidRPr="001C2CCC" w:rsidRDefault="007E3F42" w:rsidP="007E3F42">
      <w:pPr>
        <w:jc w:val="both"/>
      </w:pPr>
      <w:r w:rsidRPr="001C2CCC">
        <w:t>Die einzelnen wichtigen Eckdaten und Einzelpläne werden in der Sitzung ausführlich erläutert.</w:t>
      </w:r>
    </w:p>
    <w:p w:rsidR="00C735DC" w:rsidRDefault="00C735DC" w:rsidP="007E3F42">
      <w:pPr>
        <w:jc w:val="both"/>
        <w:rPr>
          <w:color w:val="FF0000"/>
          <w:u w:val="single"/>
        </w:rPr>
      </w:pPr>
    </w:p>
    <w:p w:rsidR="00974B2F" w:rsidRPr="001C2CCC" w:rsidRDefault="00974B2F" w:rsidP="007E3F42">
      <w:pPr>
        <w:jc w:val="both"/>
        <w:rPr>
          <w:color w:val="FF0000"/>
          <w:u w:val="single"/>
        </w:rPr>
      </w:pPr>
    </w:p>
    <w:p w:rsidR="007E3F42" w:rsidRPr="001C2CCC" w:rsidRDefault="008C11DD" w:rsidP="007E3F42">
      <w:pPr>
        <w:jc w:val="both"/>
        <w:rPr>
          <w:u w:val="single"/>
        </w:rPr>
      </w:pPr>
      <w:r w:rsidRPr="001C2CCC">
        <w:rPr>
          <w:u w:val="single"/>
        </w:rPr>
        <w:t>II</w:t>
      </w:r>
      <w:r w:rsidR="007E3F42" w:rsidRPr="001C2CCC">
        <w:rPr>
          <w:u w:val="single"/>
        </w:rPr>
        <w:t>. Beschlussvorschlag</w:t>
      </w:r>
    </w:p>
    <w:p w:rsidR="007E3F42" w:rsidRPr="001C2CCC" w:rsidRDefault="007E3F42" w:rsidP="007E3F42">
      <w:pPr>
        <w:jc w:val="both"/>
      </w:pPr>
      <w:r w:rsidRPr="001C2CCC">
        <w:t xml:space="preserve">Der Gemeinderat möge den Entwurf des </w:t>
      </w:r>
      <w:r w:rsidR="001C2CCC" w:rsidRPr="001C2CCC">
        <w:t>Ergebnishaushaltes 2020</w:t>
      </w:r>
      <w:r w:rsidRPr="001C2CCC">
        <w:t xml:space="preserve"> wie vorgestellt beschließen. </w:t>
      </w:r>
    </w:p>
    <w:p w:rsidR="007E3F42" w:rsidRDefault="007E3F42" w:rsidP="007E3F42">
      <w:pPr>
        <w:jc w:val="both"/>
      </w:pPr>
    </w:p>
    <w:p w:rsidR="00974B2F" w:rsidRPr="001C2CCC" w:rsidRDefault="00974B2F" w:rsidP="007E3F42">
      <w:pPr>
        <w:jc w:val="both"/>
      </w:pPr>
    </w:p>
    <w:p w:rsidR="007E3F42" w:rsidRPr="001C2CCC" w:rsidRDefault="008C11DD" w:rsidP="007E3F42">
      <w:pPr>
        <w:jc w:val="both"/>
        <w:rPr>
          <w:u w:val="single"/>
        </w:rPr>
      </w:pPr>
      <w:r w:rsidRPr="001C2CCC">
        <w:rPr>
          <w:u w:val="single"/>
        </w:rPr>
        <w:t>III</w:t>
      </w:r>
      <w:r w:rsidR="007E3F42" w:rsidRPr="001C2CCC">
        <w:rPr>
          <w:u w:val="single"/>
        </w:rPr>
        <w:t>. Anlage</w:t>
      </w:r>
    </w:p>
    <w:p w:rsidR="007E3F42" w:rsidRPr="001C2CCC" w:rsidRDefault="00231586" w:rsidP="007E3F42">
      <w:pPr>
        <w:jc w:val="both"/>
      </w:pPr>
      <w:r w:rsidRPr="001C2CCC">
        <w:t xml:space="preserve">Tabellen der </w:t>
      </w:r>
      <w:r w:rsidR="007E3F42" w:rsidRPr="001C2CCC">
        <w:t>E</w:t>
      </w:r>
      <w:r w:rsidR="001C2CCC" w:rsidRPr="001C2CCC">
        <w:t>rträge und Aufwendungen i</w:t>
      </w:r>
      <w:r w:rsidRPr="001C2CCC">
        <w:t xml:space="preserve">m </w:t>
      </w:r>
      <w:r w:rsidR="001C2CCC" w:rsidRPr="001C2CCC">
        <w:t>Ergebnishaushalt 2020</w:t>
      </w:r>
    </w:p>
    <w:sectPr w:rsidR="007E3F42" w:rsidRPr="001C2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274"/>
    <w:multiLevelType w:val="hybridMultilevel"/>
    <w:tmpl w:val="8C18D76C"/>
    <w:lvl w:ilvl="0" w:tplc="0FE07C9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42"/>
    <w:rsid w:val="00011CA9"/>
    <w:rsid w:val="00030AA0"/>
    <w:rsid w:val="00033DC0"/>
    <w:rsid w:val="00042D5B"/>
    <w:rsid w:val="00050A71"/>
    <w:rsid w:val="00052168"/>
    <w:rsid w:val="0009263C"/>
    <w:rsid w:val="000A46AC"/>
    <w:rsid w:val="000A644E"/>
    <w:rsid w:val="000D05BC"/>
    <w:rsid w:val="000D6784"/>
    <w:rsid w:val="000E0FC7"/>
    <w:rsid w:val="001348CB"/>
    <w:rsid w:val="00146D0E"/>
    <w:rsid w:val="00175153"/>
    <w:rsid w:val="0018629E"/>
    <w:rsid w:val="001C2CCC"/>
    <w:rsid w:val="001D790D"/>
    <w:rsid w:val="001E2054"/>
    <w:rsid w:val="001F0162"/>
    <w:rsid w:val="002241B4"/>
    <w:rsid w:val="002301B6"/>
    <w:rsid w:val="00230ADD"/>
    <w:rsid w:val="00231586"/>
    <w:rsid w:val="0028482A"/>
    <w:rsid w:val="00293DC6"/>
    <w:rsid w:val="002A075B"/>
    <w:rsid w:val="002B4ACE"/>
    <w:rsid w:val="002E7D14"/>
    <w:rsid w:val="003411B8"/>
    <w:rsid w:val="00341712"/>
    <w:rsid w:val="003839DB"/>
    <w:rsid w:val="00387D67"/>
    <w:rsid w:val="003A28DE"/>
    <w:rsid w:val="003B0EED"/>
    <w:rsid w:val="003E7354"/>
    <w:rsid w:val="003F2EB9"/>
    <w:rsid w:val="0043263B"/>
    <w:rsid w:val="0045137A"/>
    <w:rsid w:val="0045215F"/>
    <w:rsid w:val="00453577"/>
    <w:rsid w:val="00476FBC"/>
    <w:rsid w:val="004958ED"/>
    <w:rsid w:val="004A17E9"/>
    <w:rsid w:val="004C4DEF"/>
    <w:rsid w:val="004D5348"/>
    <w:rsid w:val="004E3CC6"/>
    <w:rsid w:val="004F3C93"/>
    <w:rsid w:val="004F3EFD"/>
    <w:rsid w:val="00563EA1"/>
    <w:rsid w:val="00580E83"/>
    <w:rsid w:val="0058213A"/>
    <w:rsid w:val="0058467B"/>
    <w:rsid w:val="005C5438"/>
    <w:rsid w:val="005D467A"/>
    <w:rsid w:val="006062E5"/>
    <w:rsid w:val="00607BF6"/>
    <w:rsid w:val="00622469"/>
    <w:rsid w:val="00633971"/>
    <w:rsid w:val="00656BB6"/>
    <w:rsid w:val="00674B76"/>
    <w:rsid w:val="0069277C"/>
    <w:rsid w:val="00694B72"/>
    <w:rsid w:val="006A0BAB"/>
    <w:rsid w:val="006B2D5E"/>
    <w:rsid w:val="006B64BE"/>
    <w:rsid w:val="006B672C"/>
    <w:rsid w:val="00701F82"/>
    <w:rsid w:val="00754A85"/>
    <w:rsid w:val="007718E5"/>
    <w:rsid w:val="007C1D9F"/>
    <w:rsid w:val="007E3F42"/>
    <w:rsid w:val="00800A46"/>
    <w:rsid w:val="0082316E"/>
    <w:rsid w:val="008274AE"/>
    <w:rsid w:val="0083086F"/>
    <w:rsid w:val="008439E4"/>
    <w:rsid w:val="008505C7"/>
    <w:rsid w:val="00851716"/>
    <w:rsid w:val="00871C58"/>
    <w:rsid w:val="00891F53"/>
    <w:rsid w:val="008A7A1E"/>
    <w:rsid w:val="008C11DD"/>
    <w:rsid w:val="009314CD"/>
    <w:rsid w:val="00943D5D"/>
    <w:rsid w:val="00956314"/>
    <w:rsid w:val="00956C03"/>
    <w:rsid w:val="00963BF6"/>
    <w:rsid w:val="00974B2F"/>
    <w:rsid w:val="009B4A70"/>
    <w:rsid w:val="00A02DD3"/>
    <w:rsid w:val="00A65095"/>
    <w:rsid w:val="00AC56A2"/>
    <w:rsid w:val="00AC736A"/>
    <w:rsid w:val="00B2500A"/>
    <w:rsid w:val="00B73FB7"/>
    <w:rsid w:val="00B775E3"/>
    <w:rsid w:val="00B8258B"/>
    <w:rsid w:val="00B859E1"/>
    <w:rsid w:val="00BA0F53"/>
    <w:rsid w:val="00BA35AE"/>
    <w:rsid w:val="00BA503F"/>
    <w:rsid w:val="00BB320F"/>
    <w:rsid w:val="00BC009C"/>
    <w:rsid w:val="00BC2D64"/>
    <w:rsid w:val="00BD4DB9"/>
    <w:rsid w:val="00BE287B"/>
    <w:rsid w:val="00C174D6"/>
    <w:rsid w:val="00C2327B"/>
    <w:rsid w:val="00C238ED"/>
    <w:rsid w:val="00C6335E"/>
    <w:rsid w:val="00C67A66"/>
    <w:rsid w:val="00C71843"/>
    <w:rsid w:val="00C735DC"/>
    <w:rsid w:val="00C748DA"/>
    <w:rsid w:val="00C75B74"/>
    <w:rsid w:val="00C92154"/>
    <w:rsid w:val="00C97611"/>
    <w:rsid w:val="00CA18AE"/>
    <w:rsid w:val="00CA7437"/>
    <w:rsid w:val="00D307D4"/>
    <w:rsid w:val="00D461D8"/>
    <w:rsid w:val="00D612B1"/>
    <w:rsid w:val="00D76E25"/>
    <w:rsid w:val="00D77782"/>
    <w:rsid w:val="00D80496"/>
    <w:rsid w:val="00DA0581"/>
    <w:rsid w:val="00DC1D91"/>
    <w:rsid w:val="00DE7B0C"/>
    <w:rsid w:val="00DF33DB"/>
    <w:rsid w:val="00E015B0"/>
    <w:rsid w:val="00E06F41"/>
    <w:rsid w:val="00E262F4"/>
    <w:rsid w:val="00E41F81"/>
    <w:rsid w:val="00E6233D"/>
    <w:rsid w:val="00E753F7"/>
    <w:rsid w:val="00E81554"/>
    <w:rsid w:val="00E90ABA"/>
    <w:rsid w:val="00EA7FFB"/>
    <w:rsid w:val="00EC02AC"/>
    <w:rsid w:val="00EE464D"/>
    <w:rsid w:val="00EF08E2"/>
    <w:rsid w:val="00F17201"/>
    <w:rsid w:val="00F179C8"/>
    <w:rsid w:val="00F344B4"/>
    <w:rsid w:val="00F40B7D"/>
    <w:rsid w:val="00F54D24"/>
    <w:rsid w:val="00F73506"/>
    <w:rsid w:val="00F93AD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392"/>
  <w15:docId w15:val="{9B24AD78-925C-47E1-999D-696D1EA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F4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5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4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43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F6E0-0F09-4A04-B065-CDF71E0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96</cp:revision>
  <cp:lastPrinted>2019-11-29T07:25:00Z</cp:lastPrinted>
  <dcterms:created xsi:type="dcterms:W3CDTF">2015-12-04T11:01:00Z</dcterms:created>
  <dcterms:modified xsi:type="dcterms:W3CDTF">2019-12-02T07:43:00Z</dcterms:modified>
</cp:coreProperties>
</file>