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AA" w:rsidRPr="000F7FBD" w:rsidRDefault="00E057AA" w:rsidP="00E057AA">
      <w:pPr>
        <w:ind w:left="426" w:hanging="426"/>
        <w:jc w:val="both"/>
        <w:rPr>
          <w:rFonts w:ascii="Arial" w:hAnsi="Arial" w:cs="Arial"/>
          <w:b/>
          <w:sz w:val="22"/>
          <w:szCs w:val="22"/>
        </w:rPr>
      </w:pPr>
      <w:r>
        <w:rPr>
          <w:rFonts w:ascii="Arial" w:hAnsi="Arial" w:cs="Arial"/>
          <w:b/>
          <w:sz w:val="22"/>
          <w:szCs w:val="22"/>
        </w:rPr>
        <w:t>Tagesordnungspunkt</w:t>
      </w:r>
      <w:r w:rsidR="007150DD">
        <w:rPr>
          <w:rFonts w:ascii="Arial" w:hAnsi="Arial" w:cs="Arial"/>
          <w:b/>
          <w:sz w:val="22"/>
          <w:szCs w:val="22"/>
        </w:rPr>
        <w:t xml:space="preserve"> 6</w:t>
      </w:r>
      <w:r>
        <w:rPr>
          <w:rFonts w:ascii="Arial" w:hAnsi="Arial" w:cs="Arial"/>
          <w:b/>
          <w:sz w:val="22"/>
          <w:szCs w:val="22"/>
        </w:rPr>
        <w:t>:</w:t>
      </w:r>
    </w:p>
    <w:p w:rsidR="00E057AA" w:rsidRPr="000F7FBD" w:rsidRDefault="00E057AA" w:rsidP="00E057AA">
      <w:pPr>
        <w:ind w:left="426" w:hanging="426"/>
        <w:jc w:val="both"/>
        <w:rPr>
          <w:rFonts w:ascii="Arial" w:hAnsi="Arial" w:cs="Arial"/>
          <w:b/>
          <w:sz w:val="22"/>
          <w:szCs w:val="22"/>
        </w:rPr>
      </w:pPr>
      <w:r w:rsidRPr="000F7FBD">
        <w:rPr>
          <w:rFonts w:ascii="Arial" w:hAnsi="Arial" w:cs="Arial"/>
          <w:b/>
          <w:sz w:val="22"/>
          <w:szCs w:val="22"/>
        </w:rPr>
        <w:t>Beschlussfassung über den Mietspiegel</w:t>
      </w:r>
      <w:r>
        <w:rPr>
          <w:rFonts w:ascii="Arial" w:hAnsi="Arial" w:cs="Arial"/>
          <w:b/>
          <w:sz w:val="22"/>
          <w:szCs w:val="22"/>
        </w:rPr>
        <w:t xml:space="preserve"> für die Gemeinde Frickingen 2020</w:t>
      </w:r>
    </w:p>
    <w:p w:rsidR="00E057AA" w:rsidRDefault="00E057AA" w:rsidP="00E057AA">
      <w:pPr>
        <w:jc w:val="both"/>
        <w:rPr>
          <w:rFonts w:ascii="Arial" w:hAnsi="Arial" w:cs="Arial"/>
          <w:sz w:val="22"/>
          <w:szCs w:val="22"/>
        </w:rPr>
      </w:pPr>
      <w:r>
        <w:rPr>
          <w:rFonts w:ascii="Arial" w:hAnsi="Arial" w:cs="Arial"/>
          <w:sz w:val="22"/>
          <w:szCs w:val="22"/>
        </w:rPr>
        <w:t>(Vorgang: GR 03.07.2012, TOP 5 öffentlich; GR 26.07.20</w:t>
      </w:r>
      <w:r w:rsidR="00B2138B">
        <w:rPr>
          <w:rFonts w:ascii="Arial" w:hAnsi="Arial" w:cs="Arial"/>
          <w:sz w:val="22"/>
          <w:szCs w:val="22"/>
        </w:rPr>
        <w:t>16</w:t>
      </w:r>
      <w:r>
        <w:rPr>
          <w:rFonts w:ascii="Arial" w:hAnsi="Arial" w:cs="Arial"/>
          <w:sz w:val="22"/>
          <w:szCs w:val="22"/>
        </w:rPr>
        <w:t>, TOP 3 öffentlich)</w:t>
      </w:r>
    </w:p>
    <w:p w:rsidR="00E057AA" w:rsidRPr="000F7FBD" w:rsidRDefault="00E057AA" w:rsidP="00E057AA">
      <w:pPr>
        <w:ind w:left="426" w:hanging="426"/>
        <w:jc w:val="both"/>
        <w:rPr>
          <w:rFonts w:ascii="Arial" w:hAnsi="Arial" w:cs="Arial"/>
          <w:sz w:val="22"/>
          <w:szCs w:val="22"/>
        </w:rPr>
      </w:pPr>
    </w:p>
    <w:p w:rsidR="00E057AA" w:rsidRPr="000F7FBD" w:rsidRDefault="00E057AA" w:rsidP="00E057AA">
      <w:pPr>
        <w:ind w:left="426" w:hanging="426"/>
        <w:jc w:val="both"/>
        <w:rPr>
          <w:rFonts w:ascii="Arial" w:hAnsi="Arial" w:cs="Arial"/>
          <w:sz w:val="22"/>
          <w:szCs w:val="22"/>
          <w:u w:val="single"/>
        </w:rPr>
      </w:pPr>
      <w:r w:rsidRPr="000F7FBD">
        <w:rPr>
          <w:rFonts w:ascii="Arial" w:hAnsi="Arial" w:cs="Arial"/>
          <w:sz w:val="22"/>
          <w:szCs w:val="22"/>
          <w:u w:val="single"/>
        </w:rPr>
        <w:t>I. Sachvortrag</w:t>
      </w:r>
    </w:p>
    <w:p w:rsidR="00E057AA" w:rsidRPr="000F7FBD" w:rsidRDefault="00E057AA" w:rsidP="00E057AA">
      <w:pPr>
        <w:ind w:left="426" w:hanging="426"/>
        <w:jc w:val="both"/>
        <w:rPr>
          <w:rFonts w:ascii="Arial" w:hAnsi="Arial" w:cs="Arial"/>
          <w:sz w:val="22"/>
          <w:szCs w:val="22"/>
        </w:rPr>
      </w:pPr>
    </w:p>
    <w:p w:rsidR="00E057AA" w:rsidRPr="000F7FBD" w:rsidRDefault="00E057AA" w:rsidP="00E057AA">
      <w:pPr>
        <w:numPr>
          <w:ilvl w:val="0"/>
          <w:numId w:val="1"/>
        </w:numPr>
        <w:jc w:val="both"/>
        <w:rPr>
          <w:rFonts w:ascii="Arial" w:hAnsi="Arial" w:cs="Arial"/>
          <w:b/>
          <w:sz w:val="22"/>
          <w:szCs w:val="22"/>
        </w:rPr>
      </w:pPr>
      <w:r w:rsidRPr="000F7FBD">
        <w:rPr>
          <w:rFonts w:ascii="Arial" w:hAnsi="Arial" w:cs="Arial"/>
          <w:b/>
          <w:sz w:val="22"/>
          <w:szCs w:val="22"/>
        </w:rPr>
        <w:t>Welche Bedeutung hat ein Mietspiegel?</w:t>
      </w:r>
    </w:p>
    <w:p w:rsidR="00E057AA" w:rsidRPr="000F7FBD" w:rsidRDefault="00E057AA" w:rsidP="00E057AA">
      <w:pPr>
        <w:jc w:val="both"/>
        <w:rPr>
          <w:rFonts w:ascii="Arial" w:hAnsi="Arial" w:cs="Arial"/>
          <w:sz w:val="22"/>
          <w:szCs w:val="22"/>
        </w:rPr>
      </w:pPr>
      <w:r w:rsidRPr="000F7FBD">
        <w:rPr>
          <w:rFonts w:ascii="Arial" w:hAnsi="Arial" w:cs="Arial"/>
          <w:sz w:val="22"/>
          <w:szCs w:val="22"/>
        </w:rPr>
        <w:t>Ein Mietspiegel ist eine Übersicht über die ortsübliche Vergleichsmiete, die von der Gemeinde oder von Interessenvertretern der Vermieter oder Mieter gemeinsam erstellt oder anerkannt worden ist. Die ortsübliche Vergleichsmiete wird nach der gesetzlichen Definition aus den üblichen Entgelten gebildet, die in der Gemeinde oder einer vergleichbaren Gemeinde für Wohnraum vergleichbarer Art, Größe, Ausstattung, Beschaffenheit und Lage in den letzten vier Jahren vereinbart oder geändert worden sind. Mietspiegel schaffen damit Markttransparenz.</w:t>
      </w:r>
    </w:p>
    <w:p w:rsidR="00E057AA" w:rsidRPr="000F7FBD" w:rsidRDefault="00E057AA" w:rsidP="00E057AA">
      <w:pPr>
        <w:jc w:val="both"/>
        <w:rPr>
          <w:rFonts w:ascii="Arial" w:hAnsi="Arial" w:cs="Arial"/>
          <w:sz w:val="22"/>
          <w:szCs w:val="22"/>
        </w:rPr>
      </w:pPr>
    </w:p>
    <w:p w:rsidR="00E057AA" w:rsidRPr="000F7FBD" w:rsidRDefault="00E057AA" w:rsidP="00E057AA">
      <w:pPr>
        <w:jc w:val="both"/>
        <w:rPr>
          <w:rFonts w:ascii="Arial" w:hAnsi="Arial" w:cs="Arial"/>
          <w:sz w:val="22"/>
          <w:szCs w:val="22"/>
        </w:rPr>
      </w:pPr>
      <w:r w:rsidRPr="000F7FBD">
        <w:rPr>
          <w:rFonts w:ascii="Arial" w:hAnsi="Arial" w:cs="Arial"/>
          <w:sz w:val="22"/>
          <w:szCs w:val="22"/>
        </w:rPr>
        <w:t>Das Hauptanwendungsfeld für Mietspiegel ist das gesetzliche Mieterhöhungsverfahren, mit dem der Vermieter die Zustimmung des Mieters zu einer Erhöhung der vereinbarten Miete bis zur ortsüblichen Vergleichsmiete verlangen kann. Mietspiegel können daneben auch beim Neuabschluss von Mietverträgen und bei einvernehmlichen d. h. vertraglich vereinbarten Änderungen der Miethöhe Bedeutung als Orientierungshilfe haben. Selbstverständlich sind die Informationen aus Mietspiegeln hierbei nicht zwingend zu beachten, sondern können von den Parteien freiwillig als Entscheidungshilfe herangezogen werden.</w:t>
      </w:r>
    </w:p>
    <w:p w:rsidR="00E057AA" w:rsidRPr="000F7FBD" w:rsidRDefault="00E057AA" w:rsidP="00E057AA">
      <w:pPr>
        <w:ind w:left="426" w:hanging="426"/>
        <w:jc w:val="both"/>
        <w:rPr>
          <w:rFonts w:ascii="Arial" w:hAnsi="Arial" w:cs="Arial"/>
          <w:sz w:val="22"/>
          <w:szCs w:val="22"/>
        </w:rPr>
      </w:pPr>
    </w:p>
    <w:p w:rsidR="00E057AA" w:rsidRPr="000F7FBD" w:rsidRDefault="00E057AA" w:rsidP="00E057AA">
      <w:pPr>
        <w:ind w:left="426" w:hanging="426"/>
        <w:jc w:val="both"/>
        <w:rPr>
          <w:rFonts w:ascii="Arial" w:hAnsi="Arial" w:cs="Arial"/>
          <w:sz w:val="22"/>
          <w:szCs w:val="22"/>
        </w:rPr>
      </w:pPr>
    </w:p>
    <w:p w:rsidR="00E057AA" w:rsidRPr="000F7FBD" w:rsidRDefault="00E057AA" w:rsidP="00E057AA">
      <w:pPr>
        <w:numPr>
          <w:ilvl w:val="0"/>
          <w:numId w:val="1"/>
        </w:numPr>
        <w:jc w:val="both"/>
        <w:rPr>
          <w:rFonts w:ascii="Arial" w:hAnsi="Arial" w:cs="Arial"/>
          <w:b/>
          <w:sz w:val="22"/>
          <w:szCs w:val="22"/>
        </w:rPr>
      </w:pPr>
      <w:r w:rsidRPr="000F7FBD">
        <w:rPr>
          <w:rFonts w:ascii="Arial" w:hAnsi="Arial" w:cs="Arial"/>
          <w:b/>
          <w:sz w:val="22"/>
          <w:szCs w:val="22"/>
        </w:rPr>
        <w:t>Welche Arten von Mietspiegeln gibt es?</w:t>
      </w:r>
    </w:p>
    <w:p w:rsidR="00E057AA" w:rsidRPr="000F7FBD" w:rsidRDefault="00E057AA" w:rsidP="00E057AA">
      <w:pPr>
        <w:jc w:val="both"/>
        <w:rPr>
          <w:rFonts w:ascii="Arial" w:hAnsi="Arial" w:cs="Arial"/>
          <w:sz w:val="22"/>
          <w:szCs w:val="22"/>
        </w:rPr>
      </w:pPr>
      <w:r w:rsidRPr="000F7FBD">
        <w:rPr>
          <w:rFonts w:ascii="Arial" w:hAnsi="Arial" w:cs="Arial"/>
          <w:sz w:val="22"/>
          <w:szCs w:val="22"/>
        </w:rPr>
        <w:t>Das Bürgerliche Gesetzbuch (BGB) unterscheidet seit der Mietrechtsreform einfache und qualifizierte Mietspiegel: Zunächst ist nach der gesetzlichen Definition jede Übersicht über die ortsübliche Vergleichsmiete, die von der Gemeinde oder von Interessenvertretern der Vermieter und der Mieter gemeinsam erstellt oder anerkannt worden ist, ein Mietspiegel. Das Gesetz knüpft besondere Rechtsfolgen an Mietspiegel, die bestimmte Anforderungen erfüllen. Diese Mietspiegel werden als qualifizierte Mietspiegel bezeichnet. Für Mietspiegel, die diese Anforderungen nicht erfüllen, hat sich der Begriff einfache Mietspiegel herausgebildet.</w:t>
      </w:r>
    </w:p>
    <w:p w:rsidR="00E057AA" w:rsidRPr="000F7FBD" w:rsidRDefault="00E057AA" w:rsidP="00E057AA">
      <w:pPr>
        <w:jc w:val="both"/>
        <w:rPr>
          <w:rFonts w:ascii="Arial" w:hAnsi="Arial" w:cs="Arial"/>
          <w:sz w:val="22"/>
          <w:szCs w:val="22"/>
        </w:rPr>
      </w:pPr>
    </w:p>
    <w:p w:rsidR="00E057AA" w:rsidRPr="000F7FBD" w:rsidRDefault="00E057AA" w:rsidP="00E057AA">
      <w:pPr>
        <w:ind w:left="426" w:hanging="426"/>
        <w:jc w:val="both"/>
        <w:rPr>
          <w:rFonts w:ascii="Arial" w:hAnsi="Arial" w:cs="Arial"/>
          <w:sz w:val="22"/>
          <w:szCs w:val="22"/>
        </w:rPr>
      </w:pPr>
      <w:r w:rsidRPr="000F7FBD">
        <w:rPr>
          <w:rFonts w:ascii="Arial" w:hAnsi="Arial" w:cs="Arial"/>
          <w:sz w:val="22"/>
          <w:szCs w:val="22"/>
        </w:rPr>
        <w:t>Ein Qualifizierter Mietspiegel muss gemäß § 558d BGB folgende Anforderungen erfüllen:</w:t>
      </w:r>
    </w:p>
    <w:p w:rsidR="00E057AA" w:rsidRPr="000F7FBD" w:rsidRDefault="00E057AA" w:rsidP="00E057AA">
      <w:pPr>
        <w:ind w:left="426" w:hanging="426"/>
        <w:jc w:val="both"/>
        <w:rPr>
          <w:rFonts w:ascii="Arial" w:hAnsi="Arial" w:cs="Arial"/>
          <w:sz w:val="22"/>
          <w:szCs w:val="22"/>
        </w:rPr>
      </w:pPr>
    </w:p>
    <w:p w:rsidR="00E057AA" w:rsidRPr="000F7FBD" w:rsidRDefault="00E057AA" w:rsidP="00E057AA">
      <w:pPr>
        <w:numPr>
          <w:ilvl w:val="0"/>
          <w:numId w:val="2"/>
        </w:numPr>
        <w:jc w:val="both"/>
        <w:rPr>
          <w:rFonts w:ascii="Arial" w:hAnsi="Arial" w:cs="Arial"/>
          <w:sz w:val="22"/>
          <w:szCs w:val="22"/>
        </w:rPr>
      </w:pPr>
      <w:r w:rsidRPr="000F7FBD">
        <w:rPr>
          <w:rFonts w:ascii="Arial" w:hAnsi="Arial" w:cs="Arial"/>
          <w:sz w:val="22"/>
          <w:szCs w:val="22"/>
        </w:rPr>
        <w:t xml:space="preserve">Er muss nach anerkannten wissenschaftlichen Grundsätzen erstellt sein </w:t>
      </w:r>
      <w:r w:rsidRPr="000F7FBD">
        <w:rPr>
          <w:rFonts w:ascii="Arial" w:hAnsi="Arial" w:cs="Arial"/>
          <w:b/>
          <w:sz w:val="22"/>
          <w:szCs w:val="22"/>
        </w:rPr>
        <w:t>und</w:t>
      </w:r>
    </w:p>
    <w:p w:rsidR="00E057AA" w:rsidRPr="000F7FBD" w:rsidRDefault="00E057AA" w:rsidP="00E057AA">
      <w:pPr>
        <w:numPr>
          <w:ilvl w:val="0"/>
          <w:numId w:val="2"/>
        </w:numPr>
        <w:jc w:val="both"/>
        <w:rPr>
          <w:rFonts w:ascii="Arial" w:hAnsi="Arial" w:cs="Arial"/>
          <w:sz w:val="22"/>
          <w:szCs w:val="22"/>
        </w:rPr>
      </w:pPr>
      <w:r w:rsidRPr="000F7FBD">
        <w:rPr>
          <w:rFonts w:ascii="Arial" w:hAnsi="Arial" w:cs="Arial"/>
          <w:sz w:val="22"/>
          <w:szCs w:val="22"/>
        </w:rPr>
        <w:t xml:space="preserve">er muss von der Gemeinde </w:t>
      </w:r>
      <w:r w:rsidRPr="000F7FBD">
        <w:rPr>
          <w:rFonts w:ascii="Arial" w:hAnsi="Arial" w:cs="Arial"/>
          <w:b/>
          <w:sz w:val="22"/>
          <w:szCs w:val="22"/>
        </w:rPr>
        <w:t>oder</w:t>
      </w:r>
      <w:r w:rsidRPr="000F7FBD">
        <w:rPr>
          <w:rFonts w:ascii="Arial" w:hAnsi="Arial" w:cs="Arial"/>
          <w:sz w:val="22"/>
          <w:szCs w:val="22"/>
        </w:rPr>
        <w:t xml:space="preserve"> von Interessenvertretern der Vermieter und Mieter anerkannt worden sein.</w:t>
      </w:r>
    </w:p>
    <w:p w:rsidR="00E057AA" w:rsidRPr="000F7FBD" w:rsidRDefault="00E057AA" w:rsidP="00E057AA">
      <w:pPr>
        <w:ind w:left="426" w:hanging="426"/>
        <w:jc w:val="both"/>
        <w:rPr>
          <w:rFonts w:ascii="Arial" w:hAnsi="Arial" w:cs="Arial"/>
          <w:sz w:val="22"/>
          <w:szCs w:val="22"/>
        </w:rPr>
      </w:pPr>
    </w:p>
    <w:p w:rsidR="00E057AA" w:rsidRPr="000F7FBD" w:rsidRDefault="00E057AA" w:rsidP="00E057AA">
      <w:pPr>
        <w:jc w:val="both"/>
        <w:rPr>
          <w:rFonts w:ascii="Arial" w:hAnsi="Arial" w:cs="Arial"/>
          <w:sz w:val="22"/>
          <w:szCs w:val="22"/>
        </w:rPr>
      </w:pPr>
      <w:r w:rsidRPr="000F7FBD">
        <w:rPr>
          <w:rFonts w:ascii="Arial" w:hAnsi="Arial" w:cs="Arial"/>
          <w:sz w:val="22"/>
          <w:szCs w:val="22"/>
        </w:rPr>
        <w:t>Außerdem muss ein qualifizierter Mietspiegel im Abstand von zwei Jahren an die Marktentwicklung angepasst und nach vier Jahren neu erstellt werden.</w:t>
      </w:r>
    </w:p>
    <w:p w:rsidR="00E057AA" w:rsidRPr="000F7FBD" w:rsidRDefault="00E057AA" w:rsidP="00E057AA">
      <w:pPr>
        <w:ind w:left="426" w:hanging="426"/>
        <w:jc w:val="both"/>
        <w:rPr>
          <w:rFonts w:ascii="Arial" w:hAnsi="Arial" w:cs="Arial"/>
          <w:sz w:val="22"/>
          <w:szCs w:val="22"/>
        </w:rPr>
      </w:pPr>
    </w:p>
    <w:p w:rsidR="00E057AA" w:rsidRPr="000F7FBD" w:rsidRDefault="00E057AA" w:rsidP="00E057AA">
      <w:pPr>
        <w:ind w:left="426" w:hanging="426"/>
        <w:jc w:val="both"/>
        <w:rPr>
          <w:rFonts w:ascii="Arial" w:hAnsi="Arial" w:cs="Arial"/>
          <w:sz w:val="22"/>
          <w:szCs w:val="22"/>
        </w:rPr>
      </w:pPr>
    </w:p>
    <w:p w:rsidR="00E057AA" w:rsidRPr="000F7FBD" w:rsidRDefault="00E057AA" w:rsidP="00E057AA">
      <w:pPr>
        <w:numPr>
          <w:ilvl w:val="0"/>
          <w:numId w:val="1"/>
        </w:numPr>
        <w:jc w:val="both"/>
        <w:rPr>
          <w:rFonts w:ascii="Arial" w:hAnsi="Arial" w:cs="Arial"/>
          <w:b/>
          <w:sz w:val="22"/>
          <w:szCs w:val="22"/>
        </w:rPr>
      </w:pPr>
      <w:r w:rsidRPr="000F7FBD">
        <w:rPr>
          <w:rFonts w:ascii="Arial" w:hAnsi="Arial" w:cs="Arial"/>
          <w:b/>
          <w:sz w:val="22"/>
          <w:szCs w:val="22"/>
        </w:rPr>
        <w:t>Welche Bedeutung haben Mietspiegel im Mieterhöhungsverfahren bis zur ortsüblichen Vergleichsmiete nach §§ 558 ff. BGB?</w:t>
      </w:r>
    </w:p>
    <w:p w:rsidR="00E057AA" w:rsidRPr="000F7FBD" w:rsidRDefault="00E057AA" w:rsidP="00E057AA">
      <w:pPr>
        <w:jc w:val="both"/>
        <w:rPr>
          <w:rFonts w:ascii="Arial" w:hAnsi="Arial" w:cs="Arial"/>
          <w:sz w:val="22"/>
          <w:szCs w:val="22"/>
        </w:rPr>
      </w:pPr>
      <w:r w:rsidRPr="000F7FBD">
        <w:rPr>
          <w:rFonts w:ascii="Arial" w:hAnsi="Arial" w:cs="Arial"/>
          <w:sz w:val="22"/>
          <w:szCs w:val="22"/>
        </w:rPr>
        <w:t>Über die Möglichkeit zur vertraglichen Mieterhöhung hinaus ermöglicht das Gesetz dem Vermieter die Durchführung von Mieterhöhungen bis zur ortsüblichen Vergleichsmiete. Dieses gesetzliche Mieterhöhungsverfahren wurde als Ausgleich zu dem Verbot für den Vermieter geschaffen, zum Zwecke einer Mieterhöhung ein Wohnraummietverhältnis zu kündigen. Die ortsübliche Vergleichsmiete ist keine punktgenaue Einzelmiete, sondern ein repräsentativer Querschnitt der üblichen Entgelte in der Gemeinde, also eine Spanne.</w:t>
      </w:r>
    </w:p>
    <w:p w:rsidR="00E057AA" w:rsidRDefault="00E057AA" w:rsidP="00E057AA">
      <w:pPr>
        <w:jc w:val="both"/>
        <w:rPr>
          <w:rFonts w:ascii="Arial" w:hAnsi="Arial" w:cs="Arial"/>
          <w:sz w:val="22"/>
          <w:szCs w:val="22"/>
        </w:rPr>
      </w:pPr>
      <w:r w:rsidRPr="000F7FBD">
        <w:rPr>
          <w:rFonts w:ascii="Arial" w:hAnsi="Arial" w:cs="Arial"/>
          <w:sz w:val="22"/>
          <w:szCs w:val="22"/>
        </w:rPr>
        <w:t>Zentrale Vorschrift des gesetzlichen Mieterhöhungsverfahrens ist § 558 Abs. 1 BGB. Danach kann der Vermieter vom Mieter die Zustimmung zu einer Erhöhung der Miete bis zur ortsüblichen Vergleichsmiete verlangen, wenn</w:t>
      </w:r>
    </w:p>
    <w:p w:rsidR="00E057AA" w:rsidRDefault="00E057AA" w:rsidP="00E057AA">
      <w:pPr>
        <w:jc w:val="both"/>
        <w:rPr>
          <w:rFonts w:ascii="Arial" w:hAnsi="Arial" w:cs="Arial"/>
          <w:sz w:val="22"/>
          <w:szCs w:val="22"/>
        </w:rPr>
      </w:pPr>
    </w:p>
    <w:p w:rsidR="00B2138B" w:rsidRPr="000F7FBD" w:rsidRDefault="00B2138B" w:rsidP="00E057AA">
      <w:pPr>
        <w:jc w:val="both"/>
        <w:rPr>
          <w:rFonts w:ascii="Arial" w:hAnsi="Arial" w:cs="Arial"/>
          <w:sz w:val="22"/>
          <w:szCs w:val="22"/>
        </w:rPr>
      </w:pPr>
      <w:bookmarkStart w:id="0" w:name="_GoBack"/>
      <w:bookmarkEnd w:id="0"/>
    </w:p>
    <w:p w:rsidR="00E057AA" w:rsidRPr="000F7FBD" w:rsidRDefault="00E057AA" w:rsidP="00E057AA">
      <w:pPr>
        <w:numPr>
          <w:ilvl w:val="0"/>
          <w:numId w:val="3"/>
        </w:numPr>
        <w:jc w:val="both"/>
        <w:rPr>
          <w:rFonts w:ascii="Arial" w:hAnsi="Arial" w:cs="Arial"/>
          <w:sz w:val="22"/>
          <w:szCs w:val="22"/>
        </w:rPr>
      </w:pPr>
      <w:r w:rsidRPr="000F7FBD">
        <w:rPr>
          <w:rFonts w:ascii="Arial" w:hAnsi="Arial" w:cs="Arial"/>
          <w:sz w:val="22"/>
          <w:szCs w:val="22"/>
        </w:rPr>
        <w:lastRenderedPageBreak/>
        <w:t>die vereinbarte Miete unter der ortsüblichen Vergleichsmiete liegt, und</w:t>
      </w:r>
    </w:p>
    <w:p w:rsidR="00E057AA" w:rsidRPr="000F7FBD" w:rsidRDefault="00E057AA" w:rsidP="00E057AA">
      <w:pPr>
        <w:numPr>
          <w:ilvl w:val="0"/>
          <w:numId w:val="3"/>
        </w:numPr>
        <w:jc w:val="both"/>
        <w:rPr>
          <w:rFonts w:ascii="Arial" w:hAnsi="Arial" w:cs="Arial"/>
          <w:sz w:val="22"/>
          <w:szCs w:val="22"/>
        </w:rPr>
      </w:pPr>
      <w:r w:rsidRPr="000F7FBD">
        <w:rPr>
          <w:rFonts w:ascii="Arial" w:hAnsi="Arial" w:cs="Arial"/>
          <w:sz w:val="22"/>
          <w:szCs w:val="22"/>
        </w:rPr>
        <w:t>die bisherige Miete zu dem Zeitpunkt, zu dem die Erhöhung wirksam werden soll, seit fünfzehn Monaten unverändert geblieben ist, und</w:t>
      </w:r>
    </w:p>
    <w:p w:rsidR="00E057AA" w:rsidRPr="000F7FBD" w:rsidRDefault="00E057AA" w:rsidP="00E057AA">
      <w:pPr>
        <w:numPr>
          <w:ilvl w:val="0"/>
          <w:numId w:val="3"/>
        </w:numPr>
        <w:jc w:val="both"/>
        <w:rPr>
          <w:rFonts w:ascii="Arial" w:hAnsi="Arial" w:cs="Arial"/>
          <w:sz w:val="22"/>
          <w:szCs w:val="22"/>
        </w:rPr>
      </w:pPr>
      <w:r w:rsidRPr="000F7FBD">
        <w:rPr>
          <w:rFonts w:ascii="Arial" w:hAnsi="Arial" w:cs="Arial"/>
          <w:sz w:val="22"/>
          <w:szCs w:val="22"/>
        </w:rPr>
        <w:t>das Mieterhöhungsverlangen frühestens ein Jahr nach der letzten Mieterhöhung geltend gemacht wird und</w:t>
      </w:r>
    </w:p>
    <w:p w:rsidR="00E057AA" w:rsidRPr="000F7FBD" w:rsidRDefault="00E057AA" w:rsidP="00E057AA">
      <w:pPr>
        <w:numPr>
          <w:ilvl w:val="0"/>
          <w:numId w:val="3"/>
        </w:numPr>
        <w:jc w:val="both"/>
        <w:rPr>
          <w:rFonts w:ascii="Arial" w:hAnsi="Arial" w:cs="Arial"/>
          <w:sz w:val="22"/>
          <w:szCs w:val="22"/>
        </w:rPr>
      </w:pPr>
      <w:r w:rsidRPr="000F7FBD">
        <w:rPr>
          <w:rFonts w:ascii="Arial" w:hAnsi="Arial" w:cs="Arial"/>
          <w:sz w:val="22"/>
          <w:szCs w:val="22"/>
        </w:rPr>
        <w:t>das jetzige Mieterhöhungsverlangen höchstens zu einer Mietsteigerung von 20 v.H. innerhalb der letzten drei Jahre führt (sog. Kappungsgrenze; § 558 Abs. 3 BGB).</w:t>
      </w:r>
    </w:p>
    <w:p w:rsidR="00E057AA" w:rsidRPr="000F7FBD" w:rsidRDefault="00E057AA" w:rsidP="00E057AA">
      <w:pPr>
        <w:ind w:left="426" w:hanging="426"/>
        <w:jc w:val="both"/>
        <w:rPr>
          <w:rFonts w:ascii="Arial" w:hAnsi="Arial" w:cs="Arial"/>
          <w:sz w:val="22"/>
          <w:szCs w:val="22"/>
        </w:rPr>
      </w:pPr>
    </w:p>
    <w:p w:rsidR="00E057AA" w:rsidRPr="000F7FBD" w:rsidRDefault="00E057AA" w:rsidP="00E057AA">
      <w:pPr>
        <w:jc w:val="both"/>
        <w:rPr>
          <w:rFonts w:ascii="Arial" w:hAnsi="Arial" w:cs="Arial"/>
          <w:sz w:val="22"/>
          <w:szCs w:val="22"/>
        </w:rPr>
      </w:pPr>
      <w:r w:rsidRPr="000F7FBD">
        <w:rPr>
          <w:rFonts w:ascii="Arial" w:hAnsi="Arial" w:cs="Arial"/>
          <w:sz w:val="22"/>
          <w:szCs w:val="22"/>
        </w:rPr>
        <w:t>Der Vermieter muss das Mieterhöhungsverlangen in Textform erklären und begründen. Hierzu kann er sich insbesondere einen Mietspiegel, und zwar sowohl auf einen einfachen Mietspiegel als auch auf einen qualifizierten Mietspiegel, stützen.</w:t>
      </w:r>
    </w:p>
    <w:p w:rsidR="00E057AA" w:rsidRPr="000F7FBD" w:rsidRDefault="00E057AA" w:rsidP="00E057AA">
      <w:pPr>
        <w:jc w:val="both"/>
        <w:rPr>
          <w:rFonts w:ascii="Arial" w:hAnsi="Arial" w:cs="Arial"/>
          <w:sz w:val="22"/>
          <w:szCs w:val="22"/>
        </w:rPr>
      </w:pPr>
    </w:p>
    <w:p w:rsidR="00E057AA" w:rsidRPr="000F7FBD" w:rsidRDefault="00E057AA" w:rsidP="00E057AA">
      <w:pPr>
        <w:jc w:val="both"/>
        <w:rPr>
          <w:rFonts w:ascii="Arial" w:hAnsi="Arial" w:cs="Arial"/>
          <w:sz w:val="22"/>
          <w:szCs w:val="22"/>
        </w:rPr>
      </w:pPr>
      <w:r w:rsidRPr="000F7FBD">
        <w:rPr>
          <w:rFonts w:ascii="Arial" w:hAnsi="Arial" w:cs="Arial"/>
          <w:sz w:val="22"/>
          <w:szCs w:val="22"/>
        </w:rPr>
        <w:t>Zusammenfassend lässt sich feststellen, dass Mietspiegel im gesetzlichen Mieterhöhungsverlangen an zwei Stellen eine Rolle spielen können: im Mieterhöhungsverlangen des Vermieters und im Prozess auf Zustimmung zu der verlangten Mieterhöhung. Man spricht insoweit von der Begründungsfunktion des Mietspiegels und von seiner Beweisfunktion im Prozess.</w:t>
      </w:r>
    </w:p>
    <w:p w:rsidR="00E057AA" w:rsidRPr="000F7FBD" w:rsidRDefault="00E057AA" w:rsidP="00E057AA">
      <w:pPr>
        <w:jc w:val="both"/>
        <w:rPr>
          <w:rFonts w:ascii="Arial" w:hAnsi="Arial" w:cs="Arial"/>
          <w:sz w:val="22"/>
          <w:szCs w:val="22"/>
        </w:rPr>
      </w:pPr>
    </w:p>
    <w:p w:rsidR="00E057AA" w:rsidRPr="000F7FBD" w:rsidRDefault="00E057AA" w:rsidP="00E057AA">
      <w:pPr>
        <w:jc w:val="both"/>
        <w:rPr>
          <w:rFonts w:ascii="Arial" w:hAnsi="Arial" w:cs="Arial"/>
          <w:sz w:val="22"/>
          <w:szCs w:val="22"/>
        </w:rPr>
      </w:pPr>
      <w:r w:rsidRPr="000F7FBD">
        <w:rPr>
          <w:rFonts w:ascii="Arial" w:hAnsi="Arial" w:cs="Arial"/>
          <w:sz w:val="22"/>
          <w:szCs w:val="22"/>
        </w:rPr>
        <w:t>Die Anforderungen an die Qualität des Mietspiegels sind hierbei unterschiedlich. An die Qualität eines Mietspiegels als Begründungsmittel werden keine besonderen Anforderungen gestellt. Für die Verwendung eines Mietspiegels als Mittel zum Nachweis der ortsüblichen Vergleichsmiete im Prozess kommt es dagegen entscheidend auf dessen Qualität an.</w:t>
      </w:r>
    </w:p>
    <w:p w:rsidR="00E057AA" w:rsidRPr="000F7FBD" w:rsidRDefault="00E057AA" w:rsidP="00E057AA">
      <w:pPr>
        <w:jc w:val="both"/>
        <w:rPr>
          <w:rFonts w:ascii="Arial" w:hAnsi="Arial" w:cs="Arial"/>
          <w:sz w:val="22"/>
          <w:szCs w:val="22"/>
        </w:rPr>
      </w:pPr>
    </w:p>
    <w:p w:rsidR="00E057AA" w:rsidRPr="000F7FBD" w:rsidRDefault="00E057AA" w:rsidP="00E057AA">
      <w:pPr>
        <w:jc w:val="both"/>
        <w:rPr>
          <w:rFonts w:ascii="Arial" w:hAnsi="Arial" w:cs="Arial"/>
          <w:sz w:val="22"/>
          <w:szCs w:val="22"/>
        </w:rPr>
      </w:pPr>
      <w:r w:rsidRPr="000F7FBD">
        <w:rPr>
          <w:rFonts w:ascii="Arial" w:hAnsi="Arial" w:cs="Arial"/>
          <w:sz w:val="22"/>
          <w:szCs w:val="22"/>
        </w:rPr>
        <w:t>Das Gericht kann und wird seiner Entscheidung die Werte eines Mietspiegels insbesondere dann zugrunde legen, wenn dieser die erforderlichen Formalien des Aufstellungsverfahrens erfüllt und das Gericht von der Richtigkeit der ausgewiesenen Werte überzeugt ist. Letzteres wird umso eher der Fall sein, je sorgfältiger der Mietspiegel erstellt wurde und je eher sich diese Erstellung nachvollziehen lässt. Hierbei kommt es beispielsweise darauf an, welche Daten der Mietspiegelerstellung zugrunde gelegt wurden, wie aktuell die Daten waren und wie sie ausgewertet wurden.</w:t>
      </w:r>
    </w:p>
    <w:p w:rsidR="00E057AA" w:rsidRPr="000F7FBD" w:rsidRDefault="00E057AA" w:rsidP="00E057AA">
      <w:pPr>
        <w:jc w:val="both"/>
        <w:rPr>
          <w:rFonts w:ascii="Arial" w:hAnsi="Arial" w:cs="Arial"/>
          <w:sz w:val="22"/>
          <w:szCs w:val="22"/>
        </w:rPr>
      </w:pPr>
    </w:p>
    <w:p w:rsidR="00E057AA" w:rsidRPr="000F7FBD" w:rsidRDefault="00E057AA" w:rsidP="00E057AA">
      <w:pPr>
        <w:jc w:val="both"/>
        <w:rPr>
          <w:rFonts w:ascii="Arial" w:hAnsi="Arial" w:cs="Arial"/>
          <w:sz w:val="22"/>
          <w:szCs w:val="22"/>
        </w:rPr>
      </w:pPr>
      <w:r w:rsidRPr="000F7FBD">
        <w:rPr>
          <w:rFonts w:ascii="Arial" w:hAnsi="Arial" w:cs="Arial"/>
          <w:sz w:val="22"/>
          <w:szCs w:val="22"/>
        </w:rPr>
        <w:t>Wurde der Mietspiegel nach anerkannten wissenschaftlichen Grundsätzen erstellt (qualifizierter Mietspiegel), so gilt im Prozess kraft Gesetzes die – durch andere Beweismittel, insbesondere durch ein Sachverständigengutachten widerlegbare – Vermutung, dass die in ihm bezeichneten Entgelte die ortsübliche Vergleichsmiete wiedergeben.</w:t>
      </w:r>
    </w:p>
    <w:p w:rsidR="00E057AA" w:rsidRPr="000F7FBD" w:rsidRDefault="00E057AA" w:rsidP="00E057AA">
      <w:pPr>
        <w:jc w:val="both"/>
        <w:rPr>
          <w:rFonts w:ascii="Arial" w:hAnsi="Arial" w:cs="Arial"/>
          <w:sz w:val="22"/>
          <w:szCs w:val="22"/>
        </w:rPr>
      </w:pPr>
    </w:p>
    <w:p w:rsidR="00E057AA" w:rsidRPr="000F7FBD" w:rsidRDefault="00E057AA" w:rsidP="00E057AA">
      <w:pPr>
        <w:ind w:left="426" w:hanging="426"/>
        <w:jc w:val="both"/>
        <w:rPr>
          <w:rFonts w:ascii="Arial" w:hAnsi="Arial" w:cs="Arial"/>
          <w:sz w:val="22"/>
          <w:szCs w:val="22"/>
        </w:rPr>
      </w:pPr>
    </w:p>
    <w:p w:rsidR="00E057AA" w:rsidRPr="000F7FBD" w:rsidRDefault="00E057AA" w:rsidP="00E057AA">
      <w:pPr>
        <w:numPr>
          <w:ilvl w:val="0"/>
          <w:numId w:val="1"/>
        </w:numPr>
        <w:jc w:val="both"/>
        <w:rPr>
          <w:rFonts w:ascii="Arial" w:hAnsi="Arial" w:cs="Arial"/>
          <w:b/>
          <w:sz w:val="22"/>
          <w:szCs w:val="22"/>
        </w:rPr>
      </w:pPr>
      <w:r w:rsidRPr="000F7FBD">
        <w:rPr>
          <w:rFonts w:ascii="Arial" w:hAnsi="Arial" w:cs="Arial"/>
          <w:b/>
          <w:sz w:val="22"/>
          <w:szCs w:val="22"/>
        </w:rPr>
        <w:t>Welche Bedeutung haben Mietspiegel für die Kommunen?</w:t>
      </w:r>
    </w:p>
    <w:p w:rsidR="00E057AA" w:rsidRPr="000F7FBD" w:rsidRDefault="00E057AA" w:rsidP="00E057AA">
      <w:pPr>
        <w:numPr>
          <w:ilvl w:val="0"/>
          <w:numId w:val="4"/>
        </w:numPr>
        <w:jc w:val="both"/>
        <w:rPr>
          <w:rFonts w:ascii="Arial" w:hAnsi="Arial" w:cs="Arial"/>
          <w:sz w:val="22"/>
          <w:szCs w:val="22"/>
        </w:rPr>
      </w:pPr>
      <w:r w:rsidRPr="000F7FBD">
        <w:rPr>
          <w:rFonts w:ascii="Arial" w:hAnsi="Arial" w:cs="Arial"/>
          <w:sz w:val="22"/>
          <w:szCs w:val="22"/>
        </w:rPr>
        <w:t>Bürgerservice als Beitrag zum sozialen Frieden</w:t>
      </w:r>
    </w:p>
    <w:p w:rsidR="00E057AA" w:rsidRPr="000F7FBD" w:rsidRDefault="00E057AA" w:rsidP="00E057AA">
      <w:pPr>
        <w:numPr>
          <w:ilvl w:val="0"/>
          <w:numId w:val="4"/>
        </w:numPr>
        <w:jc w:val="both"/>
        <w:rPr>
          <w:rFonts w:ascii="Arial" w:hAnsi="Arial" w:cs="Arial"/>
          <w:sz w:val="22"/>
          <w:szCs w:val="22"/>
        </w:rPr>
      </w:pPr>
      <w:r w:rsidRPr="000F7FBD">
        <w:rPr>
          <w:rFonts w:ascii="Arial" w:hAnsi="Arial" w:cs="Arial"/>
          <w:sz w:val="22"/>
          <w:szCs w:val="22"/>
        </w:rPr>
        <w:t>Verfolgung überhöhter Mietpreise</w:t>
      </w:r>
    </w:p>
    <w:p w:rsidR="00E057AA" w:rsidRPr="000F7FBD" w:rsidRDefault="00E057AA" w:rsidP="00E057AA">
      <w:pPr>
        <w:numPr>
          <w:ilvl w:val="0"/>
          <w:numId w:val="4"/>
        </w:numPr>
        <w:jc w:val="both"/>
        <w:rPr>
          <w:rFonts w:ascii="Arial" w:hAnsi="Arial" w:cs="Arial"/>
          <w:sz w:val="22"/>
          <w:szCs w:val="22"/>
        </w:rPr>
      </w:pPr>
      <w:r w:rsidRPr="000F7FBD">
        <w:rPr>
          <w:rFonts w:ascii="Arial" w:hAnsi="Arial" w:cs="Arial"/>
          <w:sz w:val="22"/>
          <w:szCs w:val="22"/>
        </w:rPr>
        <w:t>Kommunen sind selbst Vermieter und Mieter</w:t>
      </w:r>
    </w:p>
    <w:p w:rsidR="00E057AA" w:rsidRPr="000F7FBD" w:rsidRDefault="00E057AA" w:rsidP="00E057AA">
      <w:pPr>
        <w:numPr>
          <w:ilvl w:val="0"/>
          <w:numId w:val="4"/>
        </w:numPr>
        <w:jc w:val="both"/>
        <w:rPr>
          <w:rFonts w:ascii="Arial" w:hAnsi="Arial" w:cs="Arial"/>
          <w:sz w:val="22"/>
          <w:szCs w:val="22"/>
        </w:rPr>
      </w:pPr>
      <w:r w:rsidRPr="000F7FBD">
        <w:rPr>
          <w:rFonts w:ascii="Arial" w:hAnsi="Arial" w:cs="Arial"/>
          <w:sz w:val="22"/>
          <w:szCs w:val="22"/>
        </w:rPr>
        <w:t>Bewertung des kommunalen Wohnungsbestandes</w:t>
      </w:r>
    </w:p>
    <w:p w:rsidR="00E057AA" w:rsidRPr="000F7FBD" w:rsidRDefault="00E057AA" w:rsidP="00E057AA">
      <w:pPr>
        <w:numPr>
          <w:ilvl w:val="0"/>
          <w:numId w:val="4"/>
        </w:numPr>
        <w:jc w:val="both"/>
        <w:rPr>
          <w:rFonts w:ascii="Arial" w:hAnsi="Arial" w:cs="Arial"/>
          <w:sz w:val="22"/>
          <w:szCs w:val="22"/>
        </w:rPr>
      </w:pPr>
      <w:r w:rsidRPr="000F7FBD">
        <w:rPr>
          <w:rFonts w:ascii="Arial" w:hAnsi="Arial" w:cs="Arial"/>
          <w:sz w:val="22"/>
          <w:szCs w:val="22"/>
        </w:rPr>
        <w:t>Stadtentwicklungspolitische Aspekte bei differenzierter Auswertung</w:t>
      </w:r>
    </w:p>
    <w:p w:rsidR="00E057AA" w:rsidRPr="000F7FBD" w:rsidRDefault="00E057AA" w:rsidP="00E057AA">
      <w:pPr>
        <w:numPr>
          <w:ilvl w:val="0"/>
          <w:numId w:val="4"/>
        </w:numPr>
        <w:jc w:val="both"/>
        <w:rPr>
          <w:rFonts w:ascii="Arial" w:hAnsi="Arial" w:cs="Arial"/>
          <w:sz w:val="22"/>
          <w:szCs w:val="22"/>
        </w:rPr>
      </w:pPr>
      <w:r w:rsidRPr="000F7FBD">
        <w:rPr>
          <w:rFonts w:ascii="Arial" w:hAnsi="Arial" w:cs="Arial"/>
          <w:sz w:val="22"/>
          <w:szCs w:val="22"/>
        </w:rPr>
        <w:t>Informationsgrundlage für Investoren</w:t>
      </w:r>
    </w:p>
    <w:p w:rsidR="00E057AA" w:rsidRPr="000F7FBD" w:rsidRDefault="00E057AA" w:rsidP="00E057AA">
      <w:pPr>
        <w:numPr>
          <w:ilvl w:val="0"/>
          <w:numId w:val="4"/>
        </w:numPr>
        <w:jc w:val="both"/>
        <w:rPr>
          <w:rFonts w:ascii="Arial" w:hAnsi="Arial" w:cs="Arial"/>
          <w:sz w:val="22"/>
          <w:szCs w:val="22"/>
        </w:rPr>
      </w:pPr>
      <w:r w:rsidRPr="000F7FBD">
        <w:rPr>
          <w:rFonts w:ascii="Arial" w:hAnsi="Arial" w:cs="Arial"/>
          <w:sz w:val="22"/>
          <w:szCs w:val="22"/>
        </w:rPr>
        <w:t>Festlegung der Höchstmiete im geförderten Wohnungsbestand</w:t>
      </w:r>
    </w:p>
    <w:p w:rsidR="00E057AA" w:rsidRPr="000F7FBD" w:rsidRDefault="00E057AA" w:rsidP="00E057AA">
      <w:pPr>
        <w:numPr>
          <w:ilvl w:val="0"/>
          <w:numId w:val="4"/>
        </w:numPr>
        <w:jc w:val="both"/>
        <w:rPr>
          <w:rFonts w:ascii="Arial" w:hAnsi="Arial" w:cs="Arial"/>
          <w:sz w:val="22"/>
          <w:szCs w:val="22"/>
        </w:rPr>
      </w:pPr>
      <w:r w:rsidRPr="000F7FBD">
        <w:rPr>
          <w:rFonts w:ascii="Arial" w:hAnsi="Arial" w:cs="Arial"/>
          <w:sz w:val="22"/>
          <w:szCs w:val="22"/>
        </w:rPr>
        <w:t>Grundlage für die Berechnung der angemessenen Kosten der Unterkunft durch den Grundsicherungsträger (Jobcenter/Kreissozialamt)</w:t>
      </w:r>
    </w:p>
    <w:p w:rsidR="00E057AA" w:rsidRDefault="00E057AA" w:rsidP="00E057AA">
      <w:pPr>
        <w:ind w:left="426" w:hanging="426"/>
        <w:jc w:val="both"/>
        <w:rPr>
          <w:rFonts w:ascii="Arial" w:hAnsi="Arial" w:cs="Arial"/>
          <w:b/>
          <w:sz w:val="22"/>
          <w:szCs w:val="22"/>
        </w:rPr>
      </w:pPr>
    </w:p>
    <w:p w:rsidR="00EB1CCA" w:rsidRDefault="00EB1CCA" w:rsidP="00E057AA">
      <w:pPr>
        <w:ind w:left="426" w:hanging="426"/>
        <w:jc w:val="both"/>
        <w:rPr>
          <w:rFonts w:ascii="Arial" w:hAnsi="Arial" w:cs="Arial"/>
          <w:b/>
          <w:sz w:val="22"/>
          <w:szCs w:val="22"/>
        </w:rPr>
      </w:pPr>
    </w:p>
    <w:p w:rsidR="00E057AA" w:rsidRPr="000F7FBD" w:rsidRDefault="00E057AA" w:rsidP="00E057AA">
      <w:pPr>
        <w:ind w:left="426" w:hanging="426"/>
        <w:jc w:val="both"/>
        <w:rPr>
          <w:rFonts w:ascii="Arial" w:hAnsi="Arial" w:cs="Arial"/>
          <w:b/>
          <w:sz w:val="22"/>
          <w:szCs w:val="22"/>
        </w:rPr>
      </w:pPr>
      <w:r w:rsidRPr="000F7FBD">
        <w:rPr>
          <w:rFonts w:ascii="Arial" w:hAnsi="Arial" w:cs="Arial"/>
          <w:b/>
          <w:sz w:val="22"/>
          <w:szCs w:val="22"/>
        </w:rPr>
        <w:t>5.</w:t>
      </w:r>
      <w:r w:rsidRPr="000F7FBD">
        <w:rPr>
          <w:rFonts w:ascii="Arial" w:hAnsi="Arial" w:cs="Arial"/>
          <w:b/>
          <w:sz w:val="22"/>
          <w:szCs w:val="22"/>
        </w:rPr>
        <w:tab/>
        <w:t>Pro</w:t>
      </w:r>
      <w:r>
        <w:rPr>
          <w:rFonts w:ascii="Arial" w:hAnsi="Arial" w:cs="Arial"/>
          <w:b/>
          <w:sz w:val="22"/>
          <w:szCs w:val="22"/>
        </w:rPr>
        <w:t>jektbeschreibung Mietspiegel 2020</w:t>
      </w:r>
    </w:p>
    <w:p w:rsidR="00EB1CCA" w:rsidRPr="00EB1CCA" w:rsidRDefault="00EB1CCA" w:rsidP="00EB1CCA">
      <w:pPr>
        <w:jc w:val="both"/>
        <w:rPr>
          <w:rFonts w:ascii="Arial" w:hAnsi="Arial" w:cs="Arial"/>
          <w:sz w:val="22"/>
          <w:szCs w:val="22"/>
        </w:rPr>
      </w:pPr>
      <w:r w:rsidRPr="00EB1CCA">
        <w:rPr>
          <w:rFonts w:ascii="Arial" w:hAnsi="Arial" w:cs="Arial"/>
          <w:sz w:val="22"/>
          <w:szCs w:val="22"/>
        </w:rPr>
        <w:t>Nach dem erfolgreichen Projekt Mietspiegel Bodenseekreis 2012 an dem insgesamt 15 der 23 Kreisgemeinden teilgenommen haben und der Fortführung im Jahr 2016 mit 20 der 23 Kreisgemeinden, konnte für 2020 die Anzahl der teilnehmenden Gemeinden auf 23 gesteigert werden.</w:t>
      </w:r>
    </w:p>
    <w:p w:rsidR="00EB1CCA" w:rsidRPr="00EB1CCA" w:rsidRDefault="00EB1CCA" w:rsidP="00EB1CCA">
      <w:pPr>
        <w:jc w:val="both"/>
        <w:rPr>
          <w:rFonts w:ascii="Arial" w:hAnsi="Arial" w:cs="Arial"/>
          <w:sz w:val="22"/>
          <w:szCs w:val="22"/>
        </w:rPr>
      </w:pPr>
    </w:p>
    <w:p w:rsidR="00EB1CCA" w:rsidRPr="00EB1CCA" w:rsidRDefault="00EB1CCA" w:rsidP="00EB1CCA">
      <w:pPr>
        <w:jc w:val="both"/>
        <w:rPr>
          <w:rFonts w:ascii="Arial" w:hAnsi="Arial" w:cs="Arial"/>
          <w:sz w:val="22"/>
          <w:szCs w:val="22"/>
        </w:rPr>
      </w:pPr>
      <w:r w:rsidRPr="00EB1CCA">
        <w:rPr>
          <w:rFonts w:ascii="Arial" w:hAnsi="Arial" w:cs="Arial"/>
          <w:sz w:val="22"/>
          <w:szCs w:val="22"/>
        </w:rPr>
        <w:lastRenderedPageBreak/>
        <w:t xml:space="preserve">Die letzte Datenerhebung aus dem Jahr 2016 zeigt sich bei der Beobachtung der Wohnungsmärkte als nicht mehr treffsicher. Mithin war für einige Bereiche keine zeitgemäße Aussage mehr zu treffen. Die Neuerhebung der Daten war zudem aus rechtlicher Sicht, mit Blick auf den 4-Jahreszeitraum gemäß § 558d (2) Satz 3 BGB, erforderlich. </w:t>
      </w:r>
    </w:p>
    <w:p w:rsidR="00EB1CCA" w:rsidRPr="00EB1CCA" w:rsidRDefault="00EB1CCA" w:rsidP="00EB1CCA">
      <w:pPr>
        <w:jc w:val="both"/>
        <w:rPr>
          <w:rFonts w:ascii="Arial" w:hAnsi="Arial" w:cs="Arial"/>
          <w:sz w:val="22"/>
          <w:szCs w:val="22"/>
        </w:rPr>
      </w:pPr>
    </w:p>
    <w:p w:rsidR="00EB1CCA" w:rsidRDefault="00EB1CCA" w:rsidP="00EB1CCA">
      <w:pPr>
        <w:jc w:val="both"/>
        <w:rPr>
          <w:rFonts w:ascii="Arial" w:hAnsi="Arial" w:cs="Arial"/>
          <w:sz w:val="22"/>
          <w:szCs w:val="22"/>
        </w:rPr>
      </w:pPr>
      <w:r w:rsidRPr="00EB1CCA">
        <w:rPr>
          <w:rFonts w:ascii="Arial" w:hAnsi="Arial" w:cs="Arial"/>
          <w:sz w:val="22"/>
          <w:szCs w:val="22"/>
        </w:rPr>
        <w:t>Die bereits 2012 für die Grundsicherungsträger zur Erstellung eines schlüssigen Konzepts für die Ermittlung der angemessenen Unterkunftskosten zum Tragen gekommen Relevanz von Mietspiegeln hat sich mit der Zurverfügungstellung von Wohnraum für flüchtende Menschen nochmals erhöht.</w:t>
      </w:r>
    </w:p>
    <w:p w:rsidR="00EB1CCA" w:rsidRDefault="00EB1CCA" w:rsidP="00EB1CCA">
      <w:pPr>
        <w:jc w:val="both"/>
        <w:rPr>
          <w:rFonts w:ascii="Arial" w:hAnsi="Arial" w:cs="Arial"/>
          <w:sz w:val="22"/>
          <w:szCs w:val="22"/>
        </w:rPr>
      </w:pPr>
    </w:p>
    <w:p w:rsidR="00EB1CCA" w:rsidRPr="00EB1CCA" w:rsidRDefault="00EB1CCA" w:rsidP="00EB1CCA">
      <w:pPr>
        <w:jc w:val="both"/>
        <w:rPr>
          <w:rFonts w:ascii="Arial" w:hAnsi="Arial" w:cs="Arial"/>
          <w:sz w:val="22"/>
          <w:szCs w:val="22"/>
        </w:rPr>
      </w:pPr>
    </w:p>
    <w:p w:rsidR="00EB1CCA" w:rsidRPr="00EB1CCA" w:rsidRDefault="00EB1CCA" w:rsidP="00EB1CCA">
      <w:pPr>
        <w:jc w:val="both"/>
        <w:rPr>
          <w:rFonts w:ascii="Arial" w:hAnsi="Arial" w:cs="Arial"/>
          <w:b/>
          <w:sz w:val="22"/>
          <w:szCs w:val="22"/>
        </w:rPr>
      </w:pPr>
      <w:r w:rsidRPr="00EB1CCA">
        <w:rPr>
          <w:rFonts w:ascii="Arial" w:hAnsi="Arial" w:cs="Arial"/>
          <w:b/>
          <w:sz w:val="22"/>
          <w:szCs w:val="22"/>
        </w:rPr>
        <w:t>Förderung von Kooperationsprojekten mehrerer Gemeinden für die Erstellung qualifizierter Mietspiegel durch das Land Baden-Württemberg</w:t>
      </w:r>
    </w:p>
    <w:p w:rsidR="00EB1CCA" w:rsidRPr="00EB1CCA" w:rsidRDefault="00EB1CCA" w:rsidP="00EB1CCA">
      <w:pPr>
        <w:jc w:val="both"/>
        <w:rPr>
          <w:rFonts w:ascii="Arial" w:hAnsi="Arial" w:cs="Arial"/>
          <w:sz w:val="22"/>
          <w:szCs w:val="22"/>
        </w:rPr>
      </w:pPr>
      <w:r w:rsidRPr="00EB1CCA">
        <w:rPr>
          <w:rFonts w:ascii="Arial" w:hAnsi="Arial" w:cs="Arial"/>
          <w:sz w:val="22"/>
          <w:szCs w:val="22"/>
        </w:rPr>
        <w:t>Im Jahr 2017 wurde das Land Baden-Württemberg im Rahmen der Wohnraumallianz auf das Kooperationsprojekt im Bodenseekreis aufmerksam. Fördervoraussetzung ist die Kooperation vom mindestens zwei Gemeinden mit einer Gesamteinwohnerzahl von mindestens 10.000 Einwohnern. Die Kooperation muss sich entweder neu bilden oder bei bestehenden Kooperationen muss eine weitere Gemeinde hinzukommen. Gefördert wird das Projekt mit einem Betrag von 0,50 EUR je Einwohner; maximal 50.000 EUR.</w:t>
      </w:r>
    </w:p>
    <w:p w:rsidR="00EB1CCA" w:rsidRPr="00EB1CCA" w:rsidRDefault="00EB1CCA" w:rsidP="00EB1CCA">
      <w:pPr>
        <w:jc w:val="both"/>
        <w:rPr>
          <w:rFonts w:ascii="Arial" w:hAnsi="Arial" w:cs="Arial"/>
          <w:sz w:val="22"/>
          <w:szCs w:val="22"/>
        </w:rPr>
      </w:pPr>
    </w:p>
    <w:p w:rsidR="00EB1CCA" w:rsidRPr="00EB1CCA" w:rsidRDefault="00EB1CCA" w:rsidP="00EB1CCA">
      <w:pPr>
        <w:jc w:val="both"/>
        <w:rPr>
          <w:rFonts w:ascii="Arial" w:hAnsi="Arial" w:cs="Arial"/>
          <w:sz w:val="22"/>
          <w:szCs w:val="22"/>
        </w:rPr>
      </w:pPr>
      <w:r w:rsidRPr="00EB1CCA">
        <w:rPr>
          <w:rFonts w:ascii="Arial" w:hAnsi="Arial" w:cs="Arial"/>
          <w:sz w:val="22"/>
          <w:szCs w:val="22"/>
        </w:rPr>
        <w:t>Mit der Aufnahme der restlichen, noch fehlenden Gemeinden konnte auch für den Bodenseekreis der Förderantrag gestellt werden. Die Projektleitung hat die Stadt Friedrichshafen übernommen. Sie war gleichzeitig die antragstellende Behörde. Hierzu w</w:t>
      </w:r>
      <w:r>
        <w:rPr>
          <w:rFonts w:ascii="Arial" w:hAnsi="Arial" w:cs="Arial"/>
          <w:sz w:val="22"/>
          <w:szCs w:val="22"/>
        </w:rPr>
        <w:t>urden</w:t>
      </w:r>
      <w:r w:rsidRPr="00EB1CCA">
        <w:rPr>
          <w:rFonts w:ascii="Arial" w:hAnsi="Arial" w:cs="Arial"/>
          <w:sz w:val="22"/>
          <w:szCs w:val="22"/>
        </w:rPr>
        <w:t xml:space="preserve"> im Vorfeld die erforderlichen Zustimmungen der einzelnen Gemeinderäte der beteiligten Gemeinden sowie die Bevollmächtigungen der Bürgermeister </w:t>
      </w:r>
      <w:r>
        <w:rPr>
          <w:rFonts w:ascii="Arial" w:hAnsi="Arial" w:cs="Arial"/>
          <w:sz w:val="22"/>
          <w:szCs w:val="22"/>
        </w:rPr>
        <w:t>eingeholt.</w:t>
      </w:r>
    </w:p>
    <w:p w:rsidR="00EB1CCA" w:rsidRPr="00EB1CCA" w:rsidRDefault="00EB1CCA" w:rsidP="00EB1CCA">
      <w:pPr>
        <w:jc w:val="both"/>
        <w:rPr>
          <w:rFonts w:ascii="Arial" w:hAnsi="Arial" w:cs="Arial"/>
          <w:sz w:val="22"/>
          <w:szCs w:val="22"/>
        </w:rPr>
      </w:pPr>
    </w:p>
    <w:p w:rsidR="00EB1CCA" w:rsidRPr="00EB1CCA" w:rsidRDefault="00EB1CCA" w:rsidP="00EB1CCA">
      <w:pPr>
        <w:jc w:val="both"/>
        <w:rPr>
          <w:rFonts w:ascii="Arial" w:hAnsi="Arial" w:cs="Arial"/>
          <w:sz w:val="22"/>
          <w:szCs w:val="22"/>
        </w:rPr>
      </w:pPr>
      <w:r w:rsidRPr="00EB1CCA">
        <w:rPr>
          <w:rFonts w:ascii="Arial" w:hAnsi="Arial" w:cs="Arial"/>
          <w:sz w:val="22"/>
          <w:szCs w:val="22"/>
        </w:rPr>
        <w:t xml:space="preserve">Der Antrag wurde am 1. Juli 2019 eingereicht und am 14. Oktober 2019 erhielt die Stadt Friedrichshafen die Zusage mit der beantragten Zuwendung über 50.000 EUR für das Gesamtprojekt. </w:t>
      </w:r>
    </w:p>
    <w:p w:rsidR="00EB1CCA" w:rsidRPr="00EB1CCA" w:rsidRDefault="00EB1CCA" w:rsidP="00EB1CCA">
      <w:pPr>
        <w:jc w:val="both"/>
        <w:rPr>
          <w:rFonts w:ascii="Arial" w:hAnsi="Arial" w:cs="Arial"/>
          <w:sz w:val="22"/>
          <w:szCs w:val="22"/>
        </w:rPr>
      </w:pPr>
    </w:p>
    <w:p w:rsidR="00EB1CCA" w:rsidRPr="00EB1CCA" w:rsidRDefault="00EB1CCA" w:rsidP="00EB1CCA">
      <w:pPr>
        <w:jc w:val="both"/>
        <w:rPr>
          <w:rFonts w:ascii="Arial" w:hAnsi="Arial" w:cs="Arial"/>
          <w:sz w:val="22"/>
          <w:szCs w:val="22"/>
        </w:rPr>
      </w:pPr>
      <w:r w:rsidRPr="00EB1CCA">
        <w:rPr>
          <w:rFonts w:ascii="Arial" w:hAnsi="Arial" w:cs="Arial"/>
          <w:sz w:val="22"/>
          <w:szCs w:val="22"/>
        </w:rPr>
        <w:t xml:space="preserve">Die Zuwendung wurde bereits Ende 2019 vom Ministerium ausbezahlt und auf Basis der Gesamtkosten für das begleitende Institut anteilig auf die Gemeinden verteilt. Auf </w:t>
      </w:r>
      <w:r>
        <w:rPr>
          <w:rFonts w:ascii="Arial" w:hAnsi="Arial" w:cs="Arial"/>
          <w:sz w:val="22"/>
          <w:szCs w:val="22"/>
        </w:rPr>
        <w:t>Frickingen</w:t>
      </w:r>
      <w:r w:rsidRPr="00EB1CCA">
        <w:rPr>
          <w:rFonts w:ascii="Arial" w:hAnsi="Arial" w:cs="Arial"/>
          <w:sz w:val="22"/>
          <w:szCs w:val="22"/>
        </w:rPr>
        <w:t xml:space="preserve"> entfiel ein Antei</w:t>
      </w:r>
      <w:r>
        <w:rPr>
          <w:rFonts w:ascii="Arial" w:hAnsi="Arial" w:cs="Arial"/>
          <w:sz w:val="22"/>
          <w:szCs w:val="22"/>
        </w:rPr>
        <w:t>l in Höhe von 654,99 €.</w:t>
      </w:r>
    </w:p>
    <w:p w:rsidR="00EB1CCA" w:rsidRDefault="00EB1CCA" w:rsidP="00EB1CCA">
      <w:pPr>
        <w:jc w:val="both"/>
        <w:rPr>
          <w:rFonts w:ascii="Arial" w:hAnsi="Arial" w:cs="Arial"/>
          <w:sz w:val="22"/>
          <w:szCs w:val="22"/>
        </w:rPr>
      </w:pPr>
    </w:p>
    <w:p w:rsidR="00EB1CCA" w:rsidRPr="00EB1CCA" w:rsidRDefault="00EB1CCA" w:rsidP="00EB1CCA">
      <w:pPr>
        <w:jc w:val="both"/>
        <w:rPr>
          <w:rFonts w:ascii="Arial" w:hAnsi="Arial" w:cs="Arial"/>
          <w:sz w:val="22"/>
          <w:szCs w:val="22"/>
        </w:rPr>
      </w:pPr>
    </w:p>
    <w:p w:rsidR="00EB1CCA" w:rsidRPr="00EB1CCA" w:rsidRDefault="00EB1CCA" w:rsidP="00EB1CCA">
      <w:pPr>
        <w:jc w:val="both"/>
        <w:rPr>
          <w:rFonts w:ascii="Arial" w:hAnsi="Arial" w:cs="Arial"/>
          <w:b/>
          <w:sz w:val="22"/>
          <w:szCs w:val="22"/>
        </w:rPr>
      </w:pPr>
      <w:r w:rsidRPr="00EB1CCA">
        <w:rPr>
          <w:rFonts w:ascii="Arial" w:hAnsi="Arial" w:cs="Arial"/>
          <w:b/>
          <w:sz w:val="22"/>
          <w:szCs w:val="22"/>
        </w:rPr>
        <w:t>Mietspiegel im Bodenseekreis 2020</w:t>
      </w:r>
    </w:p>
    <w:p w:rsidR="00EB1CCA" w:rsidRPr="00EB1CCA" w:rsidRDefault="00EB1CCA" w:rsidP="00EB1CCA">
      <w:pPr>
        <w:jc w:val="both"/>
        <w:rPr>
          <w:rFonts w:ascii="Arial" w:hAnsi="Arial" w:cs="Arial"/>
          <w:sz w:val="22"/>
          <w:szCs w:val="22"/>
        </w:rPr>
      </w:pPr>
      <w:r w:rsidRPr="00EB1CCA">
        <w:rPr>
          <w:rFonts w:ascii="Arial" w:hAnsi="Arial" w:cs="Arial"/>
          <w:sz w:val="22"/>
          <w:szCs w:val="22"/>
        </w:rPr>
        <w:t xml:space="preserve">Das Projekt Mietspiegel 2020 wurde am 04.07.2019 beim Bürgermeistersprengel von der Stadt Friedrichshafen, die die Projektleitung übernommen hatte, präsentiert. Zu den bereits 2016 teilnehmenden Gemeinden kamen die restlichen 3 Gemeinden hinzu, sodass nunmehr alle 23 Kreisgemeinden über einen eigenen Mietspiegel verfügen. </w:t>
      </w:r>
    </w:p>
    <w:p w:rsidR="00EB1CCA" w:rsidRPr="00EB1CCA" w:rsidRDefault="00EB1CCA" w:rsidP="00EB1CCA">
      <w:pPr>
        <w:jc w:val="both"/>
        <w:rPr>
          <w:rFonts w:ascii="Arial" w:hAnsi="Arial" w:cs="Arial"/>
          <w:sz w:val="22"/>
          <w:szCs w:val="22"/>
        </w:rPr>
      </w:pPr>
    </w:p>
    <w:p w:rsidR="00EB1CCA" w:rsidRPr="00EB1CCA" w:rsidRDefault="00EB1CCA" w:rsidP="00EB1CCA">
      <w:pPr>
        <w:jc w:val="both"/>
        <w:rPr>
          <w:rFonts w:ascii="Arial" w:hAnsi="Arial" w:cs="Arial"/>
          <w:sz w:val="22"/>
          <w:szCs w:val="22"/>
        </w:rPr>
      </w:pPr>
      <w:r w:rsidRPr="00EB1CCA">
        <w:rPr>
          <w:rFonts w:ascii="Arial" w:hAnsi="Arial" w:cs="Arial"/>
          <w:sz w:val="22"/>
          <w:szCs w:val="22"/>
        </w:rPr>
        <w:t xml:space="preserve">Auf die Ausschreibung unter mehreren Fachinstituten konnte erneut dem bereits 2016 tätig gewordenen EMA-Institut aus </w:t>
      </w:r>
      <w:proofErr w:type="spellStart"/>
      <w:r>
        <w:rPr>
          <w:rFonts w:ascii="Arial" w:hAnsi="Arial" w:cs="Arial"/>
          <w:sz w:val="22"/>
          <w:szCs w:val="22"/>
        </w:rPr>
        <w:t>Sinzing</w:t>
      </w:r>
      <w:proofErr w:type="spellEnd"/>
      <w:r w:rsidRPr="00EB1CCA">
        <w:rPr>
          <w:rFonts w:ascii="Arial" w:hAnsi="Arial" w:cs="Arial"/>
          <w:sz w:val="22"/>
          <w:szCs w:val="22"/>
        </w:rPr>
        <w:t xml:space="preserve"> der Zuschlag erteilt werden. Der Leiter des Instituts, Herr Dr. Schmidt, fertigte für den Abstimmungsprozess eine Kostenkalkulation, welche für jede Gemeinde den entsprechenden Einzelpreis für einen individuellen Mietspiegel auswies. </w:t>
      </w:r>
    </w:p>
    <w:p w:rsidR="007150DD" w:rsidRDefault="007150DD" w:rsidP="00E057AA">
      <w:pPr>
        <w:jc w:val="both"/>
        <w:rPr>
          <w:rFonts w:ascii="Arial" w:hAnsi="Arial" w:cs="Arial"/>
          <w:sz w:val="22"/>
          <w:szCs w:val="22"/>
        </w:rPr>
      </w:pPr>
    </w:p>
    <w:p w:rsidR="00E057AA" w:rsidRPr="000F7FBD" w:rsidRDefault="00E057AA" w:rsidP="00E057AA">
      <w:pPr>
        <w:jc w:val="both"/>
        <w:rPr>
          <w:rFonts w:ascii="Arial" w:hAnsi="Arial" w:cs="Arial"/>
          <w:bCs/>
          <w:sz w:val="22"/>
          <w:szCs w:val="22"/>
        </w:rPr>
      </w:pPr>
      <w:r w:rsidRPr="000F7FBD">
        <w:rPr>
          <w:rFonts w:ascii="Arial" w:hAnsi="Arial" w:cs="Arial"/>
          <w:sz w:val="22"/>
          <w:szCs w:val="22"/>
        </w:rPr>
        <w:t xml:space="preserve">Die Erhebung </w:t>
      </w:r>
      <w:r>
        <w:rPr>
          <w:rFonts w:ascii="Arial" w:hAnsi="Arial" w:cs="Arial"/>
          <w:sz w:val="22"/>
          <w:szCs w:val="22"/>
        </w:rPr>
        <w:t>des</w:t>
      </w:r>
      <w:r w:rsidRPr="000F7FBD">
        <w:rPr>
          <w:rFonts w:ascii="Arial" w:hAnsi="Arial" w:cs="Arial"/>
          <w:sz w:val="22"/>
          <w:szCs w:val="22"/>
        </w:rPr>
        <w:t xml:space="preserve"> Mietspiegels verursacht wegen des kostengünstigen Gemeinschaftsprojektes </w:t>
      </w:r>
      <w:r>
        <w:rPr>
          <w:rFonts w:ascii="Arial" w:hAnsi="Arial" w:cs="Arial"/>
          <w:sz w:val="22"/>
          <w:szCs w:val="22"/>
        </w:rPr>
        <w:t xml:space="preserve">für die Gemeinde Frickingen </w:t>
      </w:r>
      <w:r w:rsidRPr="000F7FBD">
        <w:rPr>
          <w:rFonts w:ascii="Arial" w:hAnsi="Arial" w:cs="Arial"/>
          <w:sz w:val="22"/>
          <w:szCs w:val="22"/>
        </w:rPr>
        <w:t xml:space="preserve">Kosten in Höhe von </w:t>
      </w:r>
      <w:r w:rsidR="00EB1CCA">
        <w:rPr>
          <w:rFonts w:ascii="Arial" w:hAnsi="Arial" w:cs="Arial"/>
          <w:sz w:val="22"/>
          <w:szCs w:val="22"/>
        </w:rPr>
        <w:t>rd. 1.400</w:t>
      </w:r>
      <w:r w:rsidRPr="000F7FBD">
        <w:rPr>
          <w:rFonts w:ascii="Arial" w:hAnsi="Arial" w:cs="Arial"/>
          <w:sz w:val="22"/>
          <w:szCs w:val="22"/>
        </w:rPr>
        <w:t xml:space="preserve"> €. Hinzu kommen die Kosten für die </w:t>
      </w:r>
      <w:r>
        <w:rPr>
          <w:rFonts w:ascii="Arial" w:hAnsi="Arial" w:cs="Arial"/>
          <w:sz w:val="22"/>
          <w:szCs w:val="22"/>
        </w:rPr>
        <w:t xml:space="preserve">erforderliche </w:t>
      </w:r>
      <w:r w:rsidRPr="000F7FBD">
        <w:rPr>
          <w:rFonts w:ascii="Arial" w:hAnsi="Arial" w:cs="Arial"/>
          <w:sz w:val="22"/>
          <w:szCs w:val="22"/>
        </w:rPr>
        <w:t xml:space="preserve">Bereitstellung des Online-Rechners, der in der gemeindlichen Homepage eingestellt werden wird (Kosten: </w:t>
      </w:r>
      <w:r w:rsidR="00EB1CCA">
        <w:rPr>
          <w:rFonts w:ascii="Arial" w:hAnsi="Arial" w:cs="Arial"/>
          <w:sz w:val="22"/>
          <w:szCs w:val="22"/>
        </w:rPr>
        <w:t>232</w:t>
      </w:r>
      <w:r w:rsidRPr="000F7FBD">
        <w:rPr>
          <w:rFonts w:ascii="Arial" w:hAnsi="Arial" w:cs="Arial"/>
          <w:sz w:val="22"/>
          <w:szCs w:val="22"/>
        </w:rPr>
        <w:t xml:space="preserve"> €).</w:t>
      </w:r>
      <w:r w:rsidR="00EB1CCA">
        <w:rPr>
          <w:rFonts w:ascii="Arial" w:hAnsi="Arial" w:cs="Arial"/>
          <w:sz w:val="22"/>
          <w:szCs w:val="22"/>
        </w:rPr>
        <w:t xml:space="preserve"> </w:t>
      </w:r>
    </w:p>
    <w:p w:rsidR="00E057AA" w:rsidRPr="000F7FBD" w:rsidRDefault="00E057AA" w:rsidP="00E057AA">
      <w:pPr>
        <w:ind w:left="426" w:hanging="426"/>
        <w:jc w:val="both"/>
        <w:rPr>
          <w:rFonts w:ascii="Arial" w:hAnsi="Arial" w:cs="Arial"/>
          <w:bCs/>
          <w:sz w:val="22"/>
          <w:szCs w:val="22"/>
        </w:rPr>
      </w:pPr>
    </w:p>
    <w:p w:rsidR="00EB1CCA" w:rsidRDefault="00EB1CCA">
      <w:pPr>
        <w:overflowPunct/>
        <w:autoSpaceDE/>
        <w:autoSpaceDN/>
        <w:adjustRightInd/>
        <w:spacing w:after="160" w:line="259" w:lineRule="auto"/>
        <w:textAlignment w:val="auto"/>
        <w:rPr>
          <w:rFonts w:ascii="Arial" w:hAnsi="Arial" w:cs="Arial"/>
          <w:bCs/>
          <w:sz w:val="22"/>
          <w:szCs w:val="22"/>
        </w:rPr>
      </w:pPr>
      <w:r>
        <w:rPr>
          <w:rFonts w:ascii="Arial" w:hAnsi="Arial" w:cs="Arial"/>
          <w:bCs/>
          <w:sz w:val="22"/>
          <w:szCs w:val="22"/>
        </w:rPr>
        <w:br w:type="page"/>
      </w:r>
    </w:p>
    <w:p w:rsidR="00E057AA" w:rsidRPr="000F7FBD" w:rsidRDefault="00E057AA" w:rsidP="00E057AA">
      <w:pPr>
        <w:ind w:left="426" w:hanging="426"/>
        <w:jc w:val="both"/>
        <w:rPr>
          <w:rFonts w:ascii="Arial" w:hAnsi="Arial" w:cs="Arial"/>
          <w:b/>
          <w:sz w:val="22"/>
          <w:szCs w:val="22"/>
        </w:rPr>
      </w:pPr>
      <w:r w:rsidRPr="000F7FBD">
        <w:rPr>
          <w:rFonts w:ascii="Arial" w:hAnsi="Arial" w:cs="Arial"/>
          <w:b/>
          <w:sz w:val="22"/>
          <w:szCs w:val="22"/>
        </w:rPr>
        <w:lastRenderedPageBreak/>
        <w:t>6. Mietspiegel 20</w:t>
      </w:r>
      <w:r>
        <w:rPr>
          <w:rFonts w:ascii="Arial" w:hAnsi="Arial" w:cs="Arial"/>
          <w:b/>
          <w:sz w:val="22"/>
          <w:szCs w:val="22"/>
        </w:rPr>
        <w:t>20</w:t>
      </w:r>
      <w:r w:rsidRPr="000F7FBD">
        <w:rPr>
          <w:rFonts w:ascii="Arial" w:hAnsi="Arial" w:cs="Arial"/>
          <w:b/>
          <w:sz w:val="22"/>
          <w:szCs w:val="22"/>
        </w:rPr>
        <w:t xml:space="preserve"> für die Gemeinde Frickingen</w:t>
      </w:r>
    </w:p>
    <w:p w:rsidR="00E057AA" w:rsidRPr="000F7FBD" w:rsidRDefault="00E057AA" w:rsidP="00E057AA">
      <w:pPr>
        <w:ind w:left="426" w:hanging="426"/>
        <w:jc w:val="both"/>
        <w:rPr>
          <w:rFonts w:ascii="Arial" w:hAnsi="Arial" w:cs="Arial"/>
          <w:sz w:val="22"/>
          <w:szCs w:val="22"/>
        </w:rPr>
      </w:pPr>
      <w:r w:rsidRPr="000F7FBD">
        <w:rPr>
          <w:rFonts w:ascii="Arial" w:hAnsi="Arial" w:cs="Arial"/>
          <w:sz w:val="22"/>
          <w:szCs w:val="22"/>
        </w:rPr>
        <w:t>Mit Abschluss der Datenauswertung liegt folgender Mietspiegel für Frickingen vor:</w:t>
      </w:r>
    </w:p>
    <w:p w:rsidR="00E057AA" w:rsidRPr="000F7FBD" w:rsidRDefault="00E057AA" w:rsidP="00E057AA">
      <w:pPr>
        <w:ind w:left="426" w:hanging="426"/>
        <w:jc w:val="both"/>
        <w:rPr>
          <w:rFonts w:ascii="Arial" w:hAnsi="Arial" w:cs="Arial"/>
          <w:sz w:val="22"/>
          <w:szCs w:val="22"/>
        </w:rPr>
      </w:pPr>
    </w:p>
    <w:p w:rsidR="00E057AA" w:rsidRDefault="00E057AA" w:rsidP="00E057AA">
      <w:pPr>
        <w:ind w:left="426" w:hanging="426"/>
        <w:jc w:val="both"/>
        <w:rPr>
          <w:rFonts w:ascii="Arial" w:hAnsi="Arial" w:cs="Arial"/>
          <w:sz w:val="22"/>
          <w:szCs w:val="22"/>
        </w:rPr>
      </w:pPr>
      <w:r w:rsidRPr="000F7FBD">
        <w:rPr>
          <w:rFonts w:ascii="Arial" w:hAnsi="Arial" w:cs="Arial"/>
          <w:sz w:val="22"/>
          <w:szCs w:val="22"/>
        </w:rPr>
        <w:t xml:space="preserve">Tabelle 1: Monatliche Basis-Nettomiete nur in Abhängigkeit von Wohnfläche und </w:t>
      </w:r>
      <w:proofErr w:type="spellStart"/>
      <w:r w:rsidRPr="000F7FBD">
        <w:rPr>
          <w:rFonts w:ascii="Arial" w:hAnsi="Arial" w:cs="Arial"/>
          <w:sz w:val="22"/>
          <w:szCs w:val="22"/>
        </w:rPr>
        <w:t>Baualter</w:t>
      </w:r>
      <w:proofErr w:type="spellEnd"/>
    </w:p>
    <w:p w:rsidR="00EB1CCA" w:rsidRPr="000F7FBD" w:rsidRDefault="00EB1CCA" w:rsidP="00E057AA">
      <w:pPr>
        <w:ind w:left="426" w:hanging="426"/>
        <w:jc w:val="both"/>
        <w:rPr>
          <w:rFonts w:ascii="Arial" w:hAnsi="Arial" w:cs="Arial"/>
          <w:sz w:val="22"/>
          <w:szCs w:val="22"/>
        </w:rPr>
      </w:pPr>
    </w:p>
    <w:tbl>
      <w:tblPr>
        <w:tblStyle w:val="TabellemithellemGitternetz11"/>
        <w:tblW w:w="9072" w:type="dxa"/>
        <w:tblInd w:w="-5" w:type="dxa"/>
        <w:tblLayout w:type="fixed"/>
        <w:tblLook w:val="00A0" w:firstRow="1" w:lastRow="0" w:firstColumn="1" w:lastColumn="0" w:noHBand="0" w:noVBand="0"/>
      </w:tblPr>
      <w:tblGrid>
        <w:gridCol w:w="850"/>
        <w:gridCol w:w="710"/>
        <w:gridCol w:w="708"/>
        <w:gridCol w:w="851"/>
        <w:gridCol w:w="850"/>
        <w:gridCol w:w="851"/>
        <w:gridCol w:w="850"/>
        <w:gridCol w:w="851"/>
        <w:gridCol w:w="850"/>
        <w:gridCol w:w="851"/>
        <w:gridCol w:w="850"/>
      </w:tblGrid>
      <w:tr w:rsidR="001147D6" w:rsidRPr="009D1D07" w:rsidTr="00657FEB">
        <w:tc>
          <w:tcPr>
            <w:tcW w:w="850" w:type="dxa"/>
            <w:shd w:val="clear" w:color="auto" w:fill="D9D9D9" w:themeFill="background1" w:themeFillShade="D9"/>
          </w:tcPr>
          <w:p w:rsidR="001147D6" w:rsidRPr="009D1D07" w:rsidRDefault="001147D6" w:rsidP="00657FEB">
            <w:pPr>
              <w:pStyle w:val="Absatz"/>
              <w:tabs>
                <w:tab w:val="left" w:pos="3969"/>
                <w:tab w:val="left" w:pos="4111"/>
              </w:tabs>
              <w:spacing w:after="0" w:line="300" w:lineRule="exact"/>
              <w:ind w:left="-70"/>
              <w:jc w:val="right"/>
              <w:rPr>
                <w:rFonts w:ascii="Calibri" w:hAnsi="Calibri"/>
                <w:b/>
                <w:sz w:val="20"/>
              </w:rPr>
            </w:pPr>
            <w:r w:rsidRPr="009D1D07">
              <w:rPr>
                <w:rFonts w:ascii="Calibri" w:hAnsi="Calibri"/>
                <w:b/>
                <w:sz w:val="20"/>
              </w:rPr>
              <w:t>Wohn-</w:t>
            </w:r>
          </w:p>
        </w:tc>
        <w:tc>
          <w:tcPr>
            <w:tcW w:w="8222" w:type="dxa"/>
            <w:gridSpan w:val="10"/>
            <w:shd w:val="clear" w:color="auto" w:fill="D9D9D9" w:themeFill="background1" w:themeFillShade="D9"/>
          </w:tcPr>
          <w:p w:rsidR="001147D6" w:rsidRPr="009D1D07" w:rsidRDefault="001147D6" w:rsidP="00657FEB">
            <w:pPr>
              <w:pStyle w:val="Absatz"/>
              <w:tabs>
                <w:tab w:val="left" w:pos="3969"/>
                <w:tab w:val="left" w:pos="4111"/>
              </w:tabs>
              <w:spacing w:after="0" w:line="300" w:lineRule="exact"/>
              <w:jc w:val="center"/>
              <w:rPr>
                <w:rFonts w:ascii="Calibri" w:hAnsi="Calibri"/>
                <w:b/>
                <w:sz w:val="20"/>
              </w:rPr>
            </w:pPr>
            <w:r w:rsidRPr="009D1D07">
              <w:rPr>
                <w:rFonts w:ascii="Calibri" w:hAnsi="Calibri"/>
                <w:b/>
                <w:sz w:val="20"/>
              </w:rPr>
              <w:t>Baujahr</w:t>
            </w:r>
          </w:p>
        </w:tc>
      </w:tr>
      <w:tr w:rsidR="001147D6" w:rsidRPr="009D1D07" w:rsidTr="00657FEB">
        <w:tc>
          <w:tcPr>
            <w:tcW w:w="850" w:type="dxa"/>
            <w:shd w:val="clear" w:color="auto" w:fill="D9D9D9" w:themeFill="background1" w:themeFillShade="D9"/>
          </w:tcPr>
          <w:p w:rsidR="001147D6" w:rsidRPr="009D1D07" w:rsidRDefault="001147D6" w:rsidP="00657FEB">
            <w:pPr>
              <w:pStyle w:val="Absatz"/>
              <w:tabs>
                <w:tab w:val="left" w:pos="3969"/>
                <w:tab w:val="left" w:pos="4111"/>
              </w:tabs>
              <w:spacing w:after="0" w:line="300" w:lineRule="exact"/>
              <w:ind w:left="-70"/>
              <w:jc w:val="right"/>
              <w:rPr>
                <w:rFonts w:ascii="Calibri" w:hAnsi="Calibri"/>
                <w:b/>
                <w:sz w:val="20"/>
              </w:rPr>
            </w:pPr>
            <w:proofErr w:type="spellStart"/>
            <w:r w:rsidRPr="009D1D07">
              <w:rPr>
                <w:rFonts w:ascii="Calibri" w:hAnsi="Calibri"/>
                <w:b/>
                <w:sz w:val="20"/>
              </w:rPr>
              <w:t>fläche</w:t>
            </w:r>
            <w:proofErr w:type="spellEnd"/>
          </w:p>
        </w:tc>
        <w:tc>
          <w:tcPr>
            <w:tcW w:w="710" w:type="dxa"/>
            <w:shd w:val="clear" w:color="auto" w:fill="D9D9D9" w:themeFill="background1" w:themeFillShade="D9"/>
          </w:tcPr>
          <w:p w:rsidR="001147D6" w:rsidRPr="009D1D07" w:rsidRDefault="001147D6" w:rsidP="00657FEB">
            <w:pPr>
              <w:pStyle w:val="Absatz"/>
              <w:tabs>
                <w:tab w:val="left" w:pos="3969"/>
                <w:tab w:val="left" w:pos="4111"/>
              </w:tabs>
              <w:spacing w:after="0" w:line="300" w:lineRule="exact"/>
              <w:ind w:left="84" w:hanging="84"/>
              <w:jc w:val="center"/>
              <w:rPr>
                <w:rFonts w:ascii="Calibri" w:hAnsi="Calibri"/>
                <w:b/>
                <w:sz w:val="14"/>
                <w:szCs w:val="14"/>
              </w:rPr>
            </w:pPr>
            <w:r w:rsidRPr="009D1D07">
              <w:rPr>
                <w:rFonts w:ascii="Calibri" w:hAnsi="Calibri"/>
                <w:b/>
                <w:sz w:val="14"/>
                <w:szCs w:val="14"/>
              </w:rPr>
              <w:t>-1918</w:t>
            </w:r>
          </w:p>
        </w:tc>
        <w:tc>
          <w:tcPr>
            <w:tcW w:w="708" w:type="dxa"/>
            <w:shd w:val="clear" w:color="auto" w:fill="D9D9D9" w:themeFill="background1" w:themeFillShade="D9"/>
          </w:tcPr>
          <w:p w:rsidR="001147D6" w:rsidRPr="009D1D07" w:rsidRDefault="001147D6" w:rsidP="00657FEB">
            <w:pPr>
              <w:pStyle w:val="Absatz"/>
              <w:tabs>
                <w:tab w:val="left" w:pos="3969"/>
                <w:tab w:val="left" w:pos="4111"/>
              </w:tabs>
              <w:spacing w:after="0" w:line="300" w:lineRule="exact"/>
              <w:ind w:left="-70" w:right="-70"/>
              <w:jc w:val="center"/>
              <w:rPr>
                <w:rFonts w:ascii="Calibri" w:hAnsi="Calibri"/>
                <w:b/>
                <w:sz w:val="14"/>
                <w:szCs w:val="14"/>
              </w:rPr>
            </w:pPr>
            <w:r w:rsidRPr="009D1D07">
              <w:rPr>
                <w:rFonts w:ascii="Calibri" w:hAnsi="Calibri"/>
                <w:b/>
                <w:sz w:val="14"/>
                <w:szCs w:val="14"/>
              </w:rPr>
              <w:t>1919-1948</w:t>
            </w:r>
          </w:p>
        </w:tc>
        <w:tc>
          <w:tcPr>
            <w:tcW w:w="851" w:type="dxa"/>
            <w:shd w:val="clear" w:color="auto" w:fill="D9D9D9" w:themeFill="background1" w:themeFillShade="D9"/>
          </w:tcPr>
          <w:p w:rsidR="001147D6" w:rsidRPr="009D1D07" w:rsidRDefault="001147D6" w:rsidP="00657FEB">
            <w:pPr>
              <w:pStyle w:val="Absatz"/>
              <w:tabs>
                <w:tab w:val="left" w:pos="3969"/>
                <w:tab w:val="left" w:pos="4111"/>
              </w:tabs>
              <w:spacing w:after="0" w:line="300" w:lineRule="exact"/>
              <w:ind w:right="-70"/>
              <w:jc w:val="center"/>
              <w:rPr>
                <w:rFonts w:ascii="Calibri" w:hAnsi="Calibri"/>
                <w:b/>
                <w:sz w:val="14"/>
                <w:szCs w:val="14"/>
              </w:rPr>
            </w:pPr>
            <w:r w:rsidRPr="009D1D07">
              <w:rPr>
                <w:rFonts w:ascii="Calibri" w:hAnsi="Calibri"/>
                <w:b/>
                <w:sz w:val="14"/>
                <w:szCs w:val="14"/>
              </w:rPr>
              <w:t>1949-1960</w:t>
            </w:r>
          </w:p>
        </w:tc>
        <w:tc>
          <w:tcPr>
            <w:tcW w:w="850" w:type="dxa"/>
            <w:shd w:val="clear" w:color="auto" w:fill="D9D9D9" w:themeFill="background1" w:themeFillShade="D9"/>
          </w:tcPr>
          <w:p w:rsidR="001147D6" w:rsidRPr="009D1D07" w:rsidRDefault="001147D6" w:rsidP="00657FEB">
            <w:pPr>
              <w:pStyle w:val="Absatz"/>
              <w:tabs>
                <w:tab w:val="left" w:pos="3969"/>
                <w:tab w:val="left" w:pos="4111"/>
              </w:tabs>
              <w:spacing w:after="0" w:line="300" w:lineRule="exact"/>
              <w:ind w:left="84" w:right="-70" w:hanging="84"/>
              <w:jc w:val="center"/>
              <w:rPr>
                <w:rFonts w:ascii="Calibri" w:hAnsi="Calibri"/>
                <w:b/>
                <w:sz w:val="14"/>
                <w:szCs w:val="14"/>
              </w:rPr>
            </w:pPr>
            <w:r w:rsidRPr="009D1D07">
              <w:rPr>
                <w:rFonts w:ascii="Calibri" w:hAnsi="Calibri"/>
                <w:b/>
                <w:sz w:val="14"/>
                <w:szCs w:val="14"/>
              </w:rPr>
              <w:t>1961-1969</w:t>
            </w:r>
          </w:p>
        </w:tc>
        <w:tc>
          <w:tcPr>
            <w:tcW w:w="851" w:type="dxa"/>
            <w:shd w:val="clear" w:color="auto" w:fill="D9D9D9" w:themeFill="background1" w:themeFillShade="D9"/>
          </w:tcPr>
          <w:p w:rsidR="001147D6" w:rsidRPr="009D1D07" w:rsidRDefault="001147D6" w:rsidP="00657FEB">
            <w:pPr>
              <w:pStyle w:val="Absatz"/>
              <w:tabs>
                <w:tab w:val="left" w:pos="3969"/>
                <w:tab w:val="left" w:pos="4111"/>
              </w:tabs>
              <w:spacing w:after="0" w:line="300" w:lineRule="exact"/>
              <w:ind w:left="84" w:right="-70" w:hanging="84"/>
              <w:jc w:val="center"/>
              <w:rPr>
                <w:rFonts w:ascii="Calibri" w:hAnsi="Calibri"/>
                <w:b/>
                <w:sz w:val="14"/>
                <w:szCs w:val="14"/>
              </w:rPr>
            </w:pPr>
            <w:r w:rsidRPr="009D1D07">
              <w:rPr>
                <w:rFonts w:ascii="Calibri" w:hAnsi="Calibri"/>
                <w:b/>
                <w:sz w:val="14"/>
                <w:szCs w:val="14"/>
              </w:rPr>
              <w:t>1970-1979</w:t>
            </w:r>
          </w:p>
        </w:tc>
        <w:tc>
          <w:tcPr>
            <w:tcW w:w="850" w:type="dxa"/>
            <w:shd w:val="clear" w:color="auto" w:fill="D9D9D9" w:themeFill="background1" w:themeFillShade="D9"/>
          </w:tcPr>
          <w:p w:rsidR="001147D6" w:rsidRPr="009D1D07" w:rsidRDefault="001147D6" w:rsidP="00657FEB">
            <w:pPr>
              <w:pStyle w:val="Absatz"/>
              <w:tabs>
                <w:tab w:val="left" w:pos="3969"/>
                <w:tab w:val="left" w:pos="4111"/>
              </w:tabs>
              <w:spacing w:after="0" w:line="300" w:lineRule="exact"/>
              <w:ind w:left="84" w:right="-70" w:hanging="84"/>
              <w:jc w:val="center"/>
              <w:rPr>
                <w:rFonts w:ascii="Calibri" w:hAnsi="Calibri"/>
                <w:b/>
                <w:sz w:val="14"/>
                <w:szCs w:val="14"/>
              </w:rPr>
            </w:pPr>
            <w:r w:rsidRPr="009D1D07">
              <w:rPr>
                <w:rFonts w:ascii="Calibri" w:hAnsi="Calibri"/>
                <w:b/>
                <w:sz w:val="14"/>
                <w:szCs w:val="14"/>
              </w:rPr>
              <w:t>1980-1986</w:t>
            </w:r>
          </w:p>
        </w:tc>
        <w:tc>
          <w:tcPr>
            <w:tcW w:w="851" w:type="dxa"/>
            <w:shd w:val="clear" w:color="auto" w:fill="D9D9D9" w:themeFill="background1" w:themeFillShade="D9"/>
          </w:tcPr>
          <w:p w:rsidR="001147D6" w:rsidRPr="009D1D07" w:rsidRDefault="001147D6" w:rsidP="00657FEB">
            <w:pPr>
              <w:pStyle w:val="Absatz"/>
              <w:tabs>
                <w:tab w:val="left" w:pos="3969"/>
                <w:tab w:val="left" w:pos="4111"/>
              </w:tabs>
              <w:spacing w:after="0" w:line="300" w:lineRule="exact"/>
              <w:ind w:left="84" w:right="-70" w:hanging="84"/>
              <w:jc w:val="center"/>
              <w:rPr>
                <w:rFonts w:ascii="Calibri" w:hAnsi="Calibri"/>
                <w:b/>
                <w:sz w:val="14"/>
                <w:szCs w:val="14"/>
              </w:rPr>
            </w:pPr>
            <w:r w:rsidRPr="009D1D07">
              <w:rPr>
                <w:rFonts w:ascii="Calibri" w:hAnsi="Calibri"/>
                <w:b/>
                <w:sz w:val="14"/>
                <w:szCs w:val="14"/>
              </w:rPr>
              <w:t>1987-1994</w:t>
            </w:r>
          </w:p>
        </w:tc>
        <w:tc>
          <w:tcPr>
            <w:tcW w:w="850" w:type="dxa"/>
            <w:shd w:val="clear" w:color="auto" w:fill="D9D9D9" w:themeFill="background1" w:themeFillShade="D9"/>
          </w:tcPr>
          <w:p w:rsidR="001147D6" w:rsidRPr="009D1D07" w:rsidRDefault="001147D6" w:rsidP="00657FEB">
            <w:pPr>
              <w:pStyle w:val="Absatz"/>
              <w:tabs>
                <w:tab w:val="left" w:pos="3969"/>
                <w:tab w:val="left" w:pos="4111"/>
              </w:tabs>
              <w:spacing w:after="0" w:line="300" w:lineRule="exact"/>
              <w:ind w:left="84" w:right="-70" w:hanging="84"/>
              <w:jc w:val="center"/>
              <w:rPr>
                <w:rFonts w:ascii="Calibri" w:hAnsi="Calibri"/>
                <w:b/>
                <w:sz w:val="14"/>
                <w:szCs w:val="14"/>
              </w:rPr>
            </w:pPr>
            <w:r w:rsidRPr="009D1D07">
              <w:rPr>
                <w:rFonts w:ascii="Calibri" w:hAnsi="Calibri"/>
                <w:b/>
                <w:sz w:val="14"/>
                <w:szCs w:val="14"/>
              </w:rPr>
              <w:t>1995-2006</w:t>
            </w:r>
          </w:p>
        </w:tc>
        <w:tc>
          <w:tcPr>
            <w:tcW w:w="851" w:type="dxa"/>
            <w:shd w:val="clear" w:color="auto" w:fill="D9D9D9" w:themeFill="background1" w:themeFillShade="D9"/>
          </w:tcPr>
          <w:p w:rsidR="001147D6" w:rsidRPr="009D1D07" w:rsidRDefault="001147D6" w:rsidP="00657FEB">
            <w:pPr>
              <w:pStyle w:val="Absatz"/>
              <w:tabs>
                <w:tab w:val="left" w:pos="3969"/>
                <w:tab w:val="left" w:pos="4111"/>
              </w:tabs>
              <w:spacing w:after="0" w:line="300" w:lineRule="exact"/>
              <w:ind w:left="84" w:right="-70" w:hanging="84"/>
              <w:jc w:val="center"/>
              <w:rPr>
                <w:rFonts w:ascii="Calibri" w:hAnsi="Calibri"/>
                <w:b/>
                <w:sz w:val="14"/>
                <w:szCs w:val="14"/>
              </w:rPr>
            </w:pPr>
            <w:r w:rsidRPr="009D1D07">
              <w:rPr>
                <w:rFonts w:ascii="Calibri" w:hAnsi="Calibri"/>
                <w:b/>
                <w:sz w:val="14"/>
                <w:szCs w:val="14"/>
              </w:rPr>
              <w:t>2007-2016</w:t>
            </w:r>
          </w:p>
        </w:tc>
        <w:tc>
          <w:tcPr>
            <w:tcW w:w="850" w:type="dxa"/>
            <w:shd w:val="clear" w:color="auto" w:fill="D9D9D9" w:themeFill="background1" w:themeFillShade="D9"/>
          </w:tcPr>
          <w:p w:rsidR="001147D6" w:rsidRPr="009D1D07" w:rsidRDefault="001147D6" w:rsidP="00657FEB">
            <w:pPr>
              <w:pStyle w:val="Absatz"/>
              <w:tabs>
                <w:tab w:val="left" w:pos="3969"/>
                <w:tab w:val="left" w:pos="4111"/>
              </w:tabs>
              <w:spacing w:after="0" w:line="300" w:lineRule="exact"/>
              <w:ind w:left="84" w:right="-70" w:hanging="84"/>
              <w:jc w:val="center"/>
              <w:rPr>
                <w:rFonts w:ascii="Calibri" w:hAnsi="Calibri"/>
                <w:b/>
                <w:sz w:val="14"/>
                <w:szCs w:val="14"/>
              </w:rPr>
            </w:pPr>
            <w:r w:rsidRPr="009D1D07">
              <w:rPr>
                <w:rFonts w:ascii="Calibri" w:hAnsi="Calibri"/>
                <w:b/>
                <w:sz w:val="14"/>
                <w:szCs w:val="14"/>
              </w:rPr>
              <w:t>2017-2020</w:t>
            </w:r>
          </w:p>
        </w:tc>
      </w:tr>
      <w:tr w:rsidR="001147D6" w:rsidRPr="009D1D07" w:rsidTr="00657FEB">
        <w:tc>
          <w:tcPr>
            <w:tcW w:w="850" w:type="dxa"/>
            <w:shd w:val="clear" w:color="auto" w:fill="D9D9D9" w:themeFill="background1" w:themeFillShade="D9"/>
          </w:tcPr>
          <w:p w:rsidR="001147D6" w:rsidRPr="009D1D07" w:rsidRDefault="001147D6" w:rsidP="00657FEB">
            <w:pPr>
              <w:pStyle w:val="Absatz"/>
              <w:tabs>
                <w:tab w:val="left" w:pos="3969"/>
                <w:tab w:val="left" w:pos="4111"/>
              </w:tabs>
              <w:spacing w:after="0" w:line="190" w:lineRule="exact"/>
              <w:jc w:val="center"/>
              <w:rPr>
                <w:rFonts w:ascii="Calibri" w:hAnsi="Calibri"/>
                <w:sz w:val="14"/>
              </w:rPr>
            </w:pPr>
            <w:r w:rsidRPr="009D1D07">
              <w:rPr>
                <w:rFonts w:ascii="Calibri" w:hAnsi="Calibri"/>
                <w:sz w:val="14"/>
              </w:rPr>
              <w:t>m</w:t>
            </w:r>
            <w:r w:rsidRPr="009D1D07">
              <w:rPr>
                <w:rFonts w:ascii="Calibri" w:hAnsi="Calibri"/>
                <w:sz w:val="14"/>
                <w:vertAlign w:val="superscript"/>
              </w:rPr>
              <w:t>2</w:t>
            </w:r>
          </w:p>
        </w:tc>
        <w:tc>
          <w:tcPr>
            <w:tcW w:w="8222" w:type="dxa"/>
            <w:gridSpan w:val="10"/>
            <w:shd w:val="clear" w:color="auto" w:fill="D9D9D9" w:themeFill="background1" w:themeFillShade="D9"/>
          </w:tcPr>
          <w:p w:rsidR="001147D6" w:rsidRPr="009D1D07" w:rsidRDefault="001147D6" w:rsidP="00657FEB">
            <w:pPr>
              <w:jc w:val="center"/>
              <w:rPr>
                <w:rFonts w:ascii="Calibri" w:hAnsi="Calibri"/>
                <w:sz w:val="14"/>
              </w:rPr>
            </w:pPr>
            <w:r w:rsidRPr="009D1D07">
              <w:rPr>
                <w:rFonts w:ascii="Calibri" w:hAnsi="Calibri"/>
                <w:sz w:val="14"/>
              </w:rPr>
              <w:t>Euro/m</w:t>
            </w:r>
            <w:r w:rsidRPr="009D1D07">
              <w:rPr>
                <w:rFonts w:ascii="Calibri" w:hAnsi="Calibri"/>
                <w:sz w:val="14"/>
                <w:vertAlign w:val="superscript"/>
              </w:rPr>
              <w:t>2</w:t>
            </w:r>
          </w:p>
        </w:tc>
      </w:tr>
      <w:tr w:rsidR="001147D6" w:rsidRPr="009D1D07" w:rsidTr="00657FEB">
        <w:tc>
          <w:tcPr>
            <w:tcW w:w="850" w:type="dxa"/>
            <w:shd w:val="clear" w:color="auto" w:fill="D9D9D9" w:themeFill="background1" w:themeFillShade="D9"/>
          </w:tcPr>
          <w:p w:rsidR="001147D6" w:rsidRPr="009D1D07" w:rsidRDefault="001147D6" w:rsidP="00657FEB">
            <w:pPr>
              <w:spacing w:line="300" w:lineRule="exact"/>
              <w:ind w:right="72"/>
              <w:jc w:val="right"/>
              <w:rPr>
                <w:rFonts w:ascii="Calibri" w:eastAsia="Arial Unicode MS" w:hAnsi="Calibri"/>
                <w:sz w:val="14"/>
                <w:szCs w:val="14"/>
              </w:rPr>
            </w:pPr>
            <w:r w:rsidRPr="009D1D07">
              <w:rPr>
                <w:rFonts w:ascii="Calibri" w:hAnsi="Calibri"/>
                <w:sz w:val="14"/>
                <w:szCs w:val="14"/>
              </w:rPr>
              <w:t>bis &lt; 50</w:t>
            </w:r>
          </w:p>
        </w:tc>
        <w:tc>
          <w:tcPr>
            <w:tcW w:w="710" w:type="dxa"/>
          </w:tcPr>
          <w:p w:rsidR="001147D6" w:rsidRPr="009D1D07" w:rsidRDefault="001147D6" w:rsidP="00657FEB">
            <w:pPr>
              <w:jc w:val="right"/>
              <w:rPr>
                <w:rFonts w:ascii="Calibri" w:hAnsi="Calibri" w:cs="Arial"/>
              </w:rPr>
            </w:pPr>
            <w:r w:rsidRPr="009D1D07">
              <w:rPr>
                <w:rFonts w:ascii="Calibri" w:hAnsi="Calibri" w:cs="Arial"/>
              </w:rPr>
              <w:t>6,40</w:t>
            </w:r>
          </w:p>
        </w:tc>
        <w:tc>
          <w:tcPr>
            <w:tcW w:w="708" w:type="dxa"/>
          </w:tcPr>
          <w:p w:rsidR="001147D6" w:rsidRPr="009D1D07" w:rsidRDefault="001147D6" w:rsidP="00657FEB">
            <w:pPr>
              <w:jc w:val="right"/>
              <w:rPr>
                <w:rFonts w:ascii="Calibri" w:hAnsi="Calibri" w:cs="Arial"/>
              </w:rPr>
            </w:pPr>
            <w:r w:rsidRPr="009D1D07">
              <w:rPr>
                <w:rFonts w:ascii="Calibri" w:hAnsi="Calibri" w:cs="Arial"/>
              </w:rPr>
              <w:t>6,00</w:t>
            </w:r>
          </w:p>
        </w:tc>
        <w:tc>
          <w:tcPr>
            <w:tcW w:w="851" w:type="dxa"/>
          </w:tcPr>
          <w:p w:rsidR="001147D6" w:rsidRPr="009D1D07" w:rsidRDefault="001147D6" w:rsidP="00657FEB">
            <w:pPr>
              <w:jc w:val="right"/>
              <w:rPr>
                <w:rFonts w:ascii="Calibri" w:hAnsi="Calibri" w:cs="Arial"/>
              </w:rPr>
            </w:pPr>
            <w:r w:rsidRPr="009D1D07">
              <w:rPr>
                <w:rFonts w:ascii="Calibri" w:hAnsi="Calibri" w:cs="Arial"/>
              </w:rPr>
              <w:t>6,10</w:t>
            </w:r>
          </w:p>
        </w:tc>
        <w:tc>
          <w:tcPr>
            <w:tcW w:w="850" w:type="dxa"/>
          </w:tcPr>
          <w:p w:rsidR="001147D6" w:rsidRPr="009D1D07" w:rsidRDefault="001147D6" w:rsidP="00657FEB">
            <w:pPr>
              <w:jc w:val="right"/>
              <w:rPr>
                <w:rFonts w:ascii="Calibri" w:hAnsi="Calibri" w:cs="Arial"/>
              </w:rPr>
            </w:pPr>
            <w:r w:rsidRPr="009D1D07">
              <w:rPr>
                <w:rFonts w:ascii="Calibri" w:hAnsi="Calibri" w:cs="Arial"/>
              </w:rPr>
              <w:t>6,30</w:t>
            </w:r>
          </w:p>
        </w:tc>
        <w:tc>
          <w:tcPr>
            <w:tcW w:w="851" w:type="dxa"/>
          </w:tcPr>
          <w:p w:rsidR="001147D6" w:rsidRPr="009D1D07" w:rsidRDefault="001147D6" w:rsidP="00657FEB">
            <w:pPr>
              <w:jc w:val="right"/>
              <w:rPr>
                <w:rFonts w:ascii="Calibri" w:hAnsi="Calibri" w:cs="Arial"/>
              </w:rPr>
            </w:pPr>
            <w:r w:rsidRPr="009D1D07">
              <w:rPr>
                <w:rFonts w:ascii="Calibri" w:hAnsi="Calibri" w:cs="Arial"/>
              </w:rPr>
              <w:t>6,50</w:t>
            </w:r>
          </w:p>
        </w:tc>
        <w:tc>
          <w:tcPr>
            <w:tcW w:w="850" w:type="dxa"/>
          </w:tcPr>
          <w:p w:rsidR="001147D6" w:rsidRPr="009D1D07" w:rsidRDefault="001147D6" w:rsidP="00657FEB">
            <w:pPr>
              <w:jc w:val="right"/>
              <w:rPr>
                <w:rFonts w:ascii="Calibri" w:hAnsi="Calibri" w:cs="Arial"/>
              </w:rPr>
            </w:pPr>
            <w:r w:rsidRPr="009D1D07">
              <w:rPr>
                <w:rFonts w:ascii="Calibri" w:hAnsi="Calibri" w:cs="Arial"/>
              </w:rPr>
              <w:t>6,80</w:t>
            </w:r>
          </w:p>
        </w:tc>
        <w:tc>
          <w:tcPr>
            <w:tcW w:w="851" w:type="dxa"/>
          </w:tcPr>
          <w:p w:rsidR="001147D6" w:rsidRPr="009D1D07" w:rsidRDefault="001147D6" w:rsidP="00657FEB">
            <w:pPr>
              <w:jc w:val="right"/>
              <w:rPr>
                <w:rFonts w:ascii="Calibri" w:hAnsi="Calibri" w:cs="Arial"/>
              </w:rPr>
            </w:pPr>
            <w:r w:rsidRPr="009D1D07">
              <w:rPr>
                <w:rFonts w:ascii="Calibri" w:hAnsi="Calibri" w:cs="Arial"/>
              </w:rPr>
              <w:t>7,20</w:t>
            </w:r>
          </w:p>
        </w:tc>
        <w:tc>
          <w:tcPr>
            <w:tcW w:w="850" w:type="dxa"/>
          </w:tcPr>
          <w:p w:rsidR="001147D6" w:rsidRPr="009D1D07" w:rsidRDefault="001147D6" w:rsidP="00657FEB">
            <w:pPr>
              <w:jc w:val="right"/>
              <w:rPr>
                <w:rFonts w:ascii="Calibri" w:hAnsi="Calibri" w:cs="Arial"/>
              </w:rPr>
            </w:pPr>
            <w:r w:rsidRPr="009D1D07">
              <w:rPr>
                <w:rFonts w:ascii="Calibri" w:hAnsi="Calibri" w:cs="Arial"/>
              </w:rPr>
              <w:t>7,70</w:t>
            </w:r>
          </w:p>
        </w:tc>
        <w:tc>
          <w:tcPr>
            <w:tcW w:w="851" w:type="dxa"/>
          </w:tcPr>
          <w:p w:rsidR="001147D6" w:rsidRPr="009D1D07" w:rsidRDefault="001147D6" w:rsidP="00657FEB">
            <w:pPr>
              <w:jc w:val="right"/>
              <w:rPr>
                <w:rFonts w:ascii="Calibri" w:hAnsi="Calibri" w:cs="Arial"/>
              </w:rPr>
            </w:pPr>
            <w:r w:rsidRPr="009D1D07">
              <w:rPr>
                <w:rFonts w:ascii="Calibri" w:hAnsi="Calibri" w:cs="Arial"/>
              </w:rPr>
              <w:t>8,30</w:t>
            </w:r>
          </w:p>
        </w:tc>
        <w:tc>
          <w:tcPr>
            <w:tcW w:w="850" w:type="dxa"/>
          </w:tcPr>
          <w:p w:rsidR="001147D6" w:rsidRPr="009D1D07" w:rsidRDefault="001147D6" w:rsidP="00657FEB">
            <w:pPr>
              <w:jc w:val="right"/>
              <w:rPr>
                <w:rFonts w:ascii="Calibri" w:hAnsi="Calibri" w:cs="Arial"/>
              </w:rPr>
            </w:pPr>
            <w:r w:rsidRPr="009D1D07">
              <w:rPr>
                <w:rFonts w:ascii="Calibri" w:hAnsi="Calibri" w:cs="Arial"/>
              </w:rPr>
              <w:t>8,70</w:t>
            </w:r>
          </w:p>
        </w:tc>
      </w:tr>
      <w:tr w:rsidR="001147D6" w:rsidRPr="009D1D07" w:rsidTr="00657FEB">
        <w:tc>
          <w:tcPr>
            <w:tcW w:w="850" w:type="dxa"/>
            <w:shd w:val="clear" w:color="auto" w:fill="D9D9D9" w:themeFill="background1" w:themeFillShade="D9"/>
          </w:tcPr>
          <w:p w:rsidR="001147D6" w:rsidRPr="009D1D07" w:rsidRDefault="001147D6" w:rsidP="00657FEB">
            <w:pPr>
              <w:spacing w:line="300" w:lineRule="exact"/>
              <w:ind w:right="72"/>
              <w:jc w:val="right"/>
              <w:rPr>
                <w:rFonts w:ascii="Calibri" w:eastAsia="Arial Unicode MS" w:hAnsi="Calibri"/>
                <w:sz w:val="14"/>
                <w:szCs w:val="14"/>
              </w:rPr>
            </w:pPr>
            <w:r w:rsidRPr="009D1D07">
              <w:rPr>
                <w:rFonts w:ascii="Calibri" w:hAnsi="Calibri"/>
                <w:sz w:val="14"/>
                <w:szCs w:val="14"/>
              </w:rPr>
              <w:t>50 - &lt;60</w:t>
            </w:r>
          </w:p>
        </w:tc>
        <w:tc>
          <w:tcPr>
            <w:tcW w:w="710" w:type="dxa"/>
          </w:tcPr>
          <w:p w:rsidR="001147D6" w:rsidRPr="009D1D07" w:rsidRDefault="001147D6" w:rsidP="00657FEB">
            <w:pPr>
              <w:jc w:val="right"/>
              <w:rPr>
                <w:rFonts w:ascii="Calibri" w:hAnsi="Calibri" w:cs="Arial"/>
              </w:rPr>
            </w:pPr>
            <w:r w:rsidRPr="009D1D07">
              <w:rPr>
                <w:rFonts w:ascii="Calibri" w:hAnsi="Calibri" w:cs="Arial"/>
              </w:rPr>
              <w:t>6,00</w:t>
            </w:r>
          </w:p>
        </w:tc>
        <w:tc>
          <w:tcPr>
            <w:tcW w:w="708" w:type="dxa"/>
          </w:tcPr>
          <w:p w:rsidR="001147D6" w:rsidRPr="009D1D07" w:rsidRDefault="001147D6" w:rsidP="00657FEB">
            <w:pPr>
              <w:jc w:val="right"/>
              <w:rPr>
                <w:rFonts w:ascii="Calibri" w:hAnsi="Calibri" w:cs="Arial"/>
              </w:rPr>
            </w:pPr>
            <w:r w:rsidRPr="009D1D07">
              <w:rPr>
                <w:rFonts w:ascii="Calibri" w:hAnsi="Calibri" w:cs="Arial"/>
              </w:rPr>
              <w:t>5,70</w:t>
            </w:r>
          </w:p>
        </w:tc>
        <w:tc>
          <w:tcPr>
            <w:tcW w:w="851" w:type="dxa"/>
          </w:tcPr>
          <w:p w:rsidR="001147D6" w:rsidRPr="009D1D07" w:rsidRDefault="001147D6" w:rsidP="00657FEB">
            <w:pPr>
              <w:jc w:val="right"/>
              <w:rPr>
                <w:rFonts w:ascii="Calibri" w:hAnsi="Calibri" w:cs="Arial"/>
              </w:rPr>
            </w:pPr>
            <w:r w:rsidRPr="009D1D07">
              <w:rPr>
                <w:rFonts w:ascii="Calibri" w:hAnsi="Calibri" w:cs="Arial"/>
              </w:rPr>
              <w:t>5,70</w:t>
            </w:r>
          </w:p>
        </w:tc>
        <w:tc>
          <w:tcPr>
            <w:tcW w:w="850" w:type="dxa"/>
          </w:tcPr>
          <w:p w:rsidR="001147D6" w:rsidRPr="009D1D07" w:rsidRDefault="001147D6" w:rsidP="00657FEB">
            <w:pPr>
              <w:jc w:val="right"/>
              <w:rPr>
                <w:rFonts w:ascii="Calibri" w:hAnsi="Calibri" w:cs="Arial"/>
              </w:rPr>
            </w:pPr>
            <w:r w:rsidRPr="009D1D07">
              <w:rPr>
                <w:rFonts w:ascii="Calibri" w:hAnsi="Calibri" w:cs="Arial"/>
              </w:rPr>
              <w:t>5,90</w:t>
            </w:r>
          </w:p>
        </w:tc>
        <w:tc>
          <w:tcPr>
            <w:tcW w:w="851" w:type="dxa"/>
          </w:tcPr>
          <w:p w:rsidR="001147D6" w:rsidRPr="009D1D07" w:rsidRDefault="001147D6" w:rsidP="00657FEB">
            <w:pPr>
              <w:jc w:val="right"/>
              <w:rPr>
                <w:rFonts w:ascii="Calibri" w:hAnsi="Calibri" w:cs="Arial"/>
              </w:rPr>
            </w:pPr>
            <w:r w:rsidRPr="009D1D07">
              <w:rPr>
                <w:rFonts w:ascii="Calibri" w:hAnsi="Calibri" w:cs="Arial"/>
              </w:rPr>
              <w:t>6,20</w:t>
            </w:r>
          </w:p>
        </w:tc>
        <w:tc>
          <w:tcPr>
            <w:tcW w:w="850" w:type="dxa"/>
          </w:tcPr>
          <w:p w:rsidR="001147D6" w:rsidRPr="009D1D07" w:rsidRDefault="001147D6" w:rsidP="00657FEB">
            <w:pPr>
              <w:jc w:val="right"/>
              <w:rPr>
                <w:rFonts w:ascii="Calibri" w:hAnsi="Calibri" w:cs="Arial"/>
              </w:rPr>
            </w:pPr>
            <w:r w:rsidRPr="009D1D07">
              <w:rPr>
                <w:rFonts w:ascii="Calibri" w:hAnsi="Calibri" w:cs="Arial"/>
              </w:rPr>
              <w:t>6,50</w:t>
            </w:r>
          </w:p>
        </w:tc>
        <w:tc>
          <w:tcPr>
            <w:tcW w:w="851" w:type="dxa"/>
          </w:tcPr>
          <w:p w:rsidR="001147D6" w:rsidRPr="009D1D07" w:rsidRDefault="001147D6" w:rsidP="00657FEB">
            <w:pPr>
              <w:jc w:val="right"/>
              <w:rPr>
                <w:rFonts w:ascii="Calibri" w:hAnsi="Calibri" w:cs="Arial"/>
              </w:rPr>
            </w:pPr>
            <w:r w:rsidRPr="009D1D07">
              <w:rPr>
                <w:rFonts w:ascii="Calibri" w:hAnsi="Calibri" w:cs="Arial"/>
              </w:rPr>
              <w:t>6,80</w:t>
            </w:r>
          </w:p>
        </w:tc>
        <w:tc>
          <w:tcPr>
            <w:tcW w:w="850" w:type="dxa"/>
          </w:tcPr>
          <w:p w:rsidR="001147D6" w:rsidRPr="009D1D07" w:rsidRDefault="001147D6" w:rsidP="00657FEB">
            <w:pPr>
              <w:jc w:val="right"/>
              <w:rPr>
                <w:rFonts w:ascii="Calibri" w:hAnsi="Calibri" w:cs="Arial"/>
              </w:rPr>
            </w:pPr>
            <w:r w:rsidRPr="009D1D07">
              <w:rPr>
                <w:rFonts w:ascii="Calibri" w:hAnsi="Calibri" w:cs="Arial"/>
              </w:rPr>
              <w:t>7,30</w:t>
            </w:r>
          </w:p>
        </w:tc>
        <w:tc>
          <w:tcPr>
            <w:tcW w:w="851" w:type="dxa"/>
          </w:tcPr>
          <w:p w:rsidR="001147D6" w:rsidRPr="009D1D07" w:rsidRDefault="001147D6" w:rsidP="00657FEB">
            <w:pPr>
              <w:jc w:val="right"/>
              <w:rPr>
                <w:rFonts w:ascii="Calibri" w:hAnsi="Calibri" w:cs="Arial"/>
              </w:rPr>
            </w:pPr>
            <w:r w:rsidRPr="009D1D07">
              <w:rPr>
                <w:rFonts w:ascii="Calibri" w:hAnsi="Calibri" w:cs="Arial"/>
              </w:rPr>
              <w:t>7,90</w:t>
            </w:r>
          </w:p>
        </w:tc>
        <w:tc>
          <w:tcPr>
            <w:tcW w:w="850" w:type="dxa"/>
          </w:tcPr>
          <w:p w:rsidR="001147D6" w:rsidRPr="009D1D07" w:rsidRDefault="001147D6" w:rsidP="00657FEB">
            <w:pPr>
              <w:jc w:val="right"/>
              <w:rPr>
                <w:rFonts w:ascii="Calibri" w:hAnsi="Calibri" w:cs="Arial"/>
              </w:rPr>
            </w:pPr>
            <w:r w:rsidRPr="009D1D07">
              <w:rPr>
                <w:rFonts w:ascii="Calibri" w:hAnsi="Calibri" w:cs="Arial"/>
              </w:rPr>
              <w:t>8,30</w:t>
            </w:r>
          </w:p>
        </w:tc>
      </w:tr>
      <w:tr w:rsidR="001147D6" w:rsidRPr="009D1D07" w:rsidTr="00657FEB">
        <w:tc>
          <w:tcPr>
            <w:tcW w:w="850" w:type="dxa"/>
            <w:shd w:val="clear" w:color="auto" w:fill="D9D9D9" w:themeFill="background1" w:themeFillShade="D9"/>
          </w:tcPr>
          <w:p w:rsidR="001147D6" w:rsidRPr="009D1D07" w:rsidRDefault="001147D6" w:rsidP="00657FEB">
            <w:pPr>
              <w:spacing w:line="300" w:lineRule="exact"/>
              <w:ind w:right="72"/>
              <w:jc w:val="right"/>
              <w:rPr>
                <w:rFonts w:ascii="Calibri" w:eastAsia="Arial Unicode MS" w:hAnsi="Calibri"/>
                <w:sz w:val="14"/>
                <w:szCs w:val="14"/>
              </w:rPr>
            </w:pPr>
            <w:r w:rsidRPr="009D1D07">
              <w:rPr>
                <w:rFonts w:ascii="Calibri" w:hAnsi="Calibri"/>
                <w:sz w:val="14"/>
                <w:szCs w:val="14"/>
              </w:rPr>
              <w:t>60 - &lt;70</w:t>
            </w:r>
          </w:p>
        </w:tc>
        <w:tc>
          <w:tcPr>
            <w:tcW w:w="710" w:type="dxa"/>
          </w:tcPr>
          <w:p w:rsidR="001147D6" w:rsidRPr="009D1D07" w:rsidRDefault="001147D6" w:rsidP="00657FEB">
            <w:pPr>
              <w:jc w:val="right"/>
              <w:rPr>
                <w:rFonts w:ascii="Calibri" w:hAnsi="Calibri" w:cs="Arial"/>
              </w:rPr>
            </w:pPr>
            <w:r w:rsidRPr="009D1D07">
              <w:rPr>
                <w:rFonts w:ascii="Calibri" w:hAnsi="Calibri" w:cs="Arial"/>
              </w:rPr>
              <w:t>5,80</w:t>
            </w:r>
          </w:p>
        </w:tc>
        <w:tc>
          <w:tcPr>
            <w:tcW w:w="708" w:type="dxa"/>
          </w:tcPr>
          <w:p w:rsidR="001147D6" w:rsidRPr="009D1D07" w:rsidRDefault="001147D6" w:rsidP="00657FEB">
            <w:pPr>
              <w:jc w:val="right"/>
              <w:rPr>
                <w:rFonts w:ascii="Calibri" w:hAnsi="Calibri" w:cs="Arial"/>
              </w:rPr>
            </w:pPr>
            <w:r w:rsidRPr="009D1D07">
              <w:rPr>
                <w:rFonts w:ascii="Calibri" w:hAnsi="Calibri" w:cs="Arial"/>
              </w:rPr>
              <w:t>5,50</w:t>
            </w:r>
          </w:p>
        </w:tc>
        <w:tc>
          <w:tcPr>
            <w:tcW w:w="851" w:type="dxa"/>
          </w:tcPr>
          <w:p w:rsidR="001147D6" w:rsidRPr="009D1D07" w:rsidRDefault="001147D6" w:rsidP="00657FEB">
            <w:pPr>
              <w:jc w:val="right"/>
              <w:rPr>
                <w:rFonts w:ascii="Calibri" w:hAnsi="Calibri" w:cs="Arial"/>
              </w:rPr>
            </w:pPr>
            <w:r w:rsidRPr="009D1D07">
              <w:rPr>
                <w:rFonts w:ascii="Calibri" w:hAnsi="Calibri" w:cs="Arial"/>
              </w:rPr>
              <w:t>5,60</w:t>
            </w:r>
          </w:p>
        </w:tc>
        <w:tc>
          <w:tcPr>
            <w:tcW w:w="850" w:type="dxa"/>
          </w:tcPr>
          <w:p w:rsidR="001147D6" w:rsidRPr="009D1D07" w:rsidRDefault="001147D6" w:rsidP="00657FEB">
            <w:pPr>
              <w:jc w:val="right"/>
              <w:rPr>
                <w:rFonts w:ascii="Calibri" w:hAnsi="Calibri" w:cs="Arial"/>
              </w:rPr>
            </w:pPr>
            <w:r w:rsidRPr="009D1D07">
              <w:rPr>
                <w:rFonts w:ascii="Calibri" w:hAnsi="Calibri" w:cs="Arial"/>
              </w:rPr>
              <w:t>5,70</w:t>
            </w:r>
          </w:p>
        </w:tc>
        <w:tc>
          <w:tcPr>
            <w:tcW w:w="851" w:type="dxa"/>
          </w:tcPr>
          <w:p w:rsidR="001147D6" w:rsidRPr="009D1D07" w:rsidRDefault="001147D6" w:rsidP="00657FEB">
            <w:pPr>
              <w:jc w:val="right"/>
              <w:rPr>
                <w:rFonts w:ascii="Calibri" w:hAnsi="Calibri" w:cs="Arial"/>
              </w:rPr>
            </w:pPr>
            <w:r w:rsidRPr="009D1D07">
              <w:rPr>
                <w:rFonts w:ascii="Calibri" w:hAnsi="Calibri" w:cs="Arial"/>
              </w:rPr>
              <w:t>6,00</w:t>
            </w:r>
          </w:p>
        </w:tc>
        <w:tc>
          <w:tcPr>
            <w:tcW w:w="850" w:type="dxa"/>
          </w:tcPr>
          <w:p w:rsidR="001147D6" w:rsidRPr="009D1D07" w:rsidRDefault="001147D6" w:rsidP="00657FEB">
            <w:pPr>
              <w:jc w:val="right"/>
              <w:rPr>
                <w:rFonts w:ascii="Calibri" w:hAnsi="Calibri" w:cs="Arial"/>
              </w:rPr>
            </w:pPr>
            <w:r w:rsidRPr="009D1D07">
              <w:rPr>
                <w:rFonts w:ascii="Calibri" w:hAnsi="Calibri" w:cs="Arial"/>
              </w:rPr>
              <w:t>6,20</w:t>
            </w:r>
          </w:p>
        </w:tc>
        <w:tc>
          <w:tcPr>
            <w:tcW w:w="851" w:type="dxa"/>
          </w:tcPr>
          <w:p w:rsidR="001147D6" w:rsidRPr="009D1D07" w:rsidRDefault="001147D6" w:rsidP="00657FEB">
            <w:pPr>
              <w:jc w:val="right"/>
              <w:rPr>
                <w:rFonts w:ascii="Calibri" w:hAnsi="Calibri" w:cs="Arial"/>
              </w:rPr>
            </w:pPr>
            <w:r w:rsidRPr="009D1D07">
              <w:rPr>
                <w:rFonts w:ascii="Calibri" w:hAnsi="Calibri" w:cs="Arial"/>
              </w:rPr>
              <w:t>6,60</w:t>
            </w:r>
          </w:p>
        </w:tc>
        <w:tc>
          <w:tcPr>
            <w:tcW w:w="850" w:type="dxa"/>
          </w:tcPr>
          <w:p w:rsidR="001147D6" w:rsidRPr="009D1D07" w:rsidRDefault="001147D6" w:rsidP="00657FEB">
            <w:pPr>
              <w:jc w:val="right"/>
              <w:rPr>
                <w:rFonts w:ascii="Calibri" w:hAnsi="Calibri" w:cs="Arial"/>
              </w:rPr>
            </w:pPr>
            <w:r w:rsidRPr="009D1D07">
              <w:rPr>
                <w:rFonts w:ascii="Calibri" w:hAnsi="Calibri" w:cs="Arial"/>
              </w:rPr>
              <w:t>7,00</w:t>
            </w:r>
          </w:p>
        </w:tc>
        <w:tc>
          <w:tcPr>
            <w:tcW w:w="851" w:type="dxa"/>
          </w:tcPr>
          <w:p w:rsidR="001147D6" w:rsidRPr="009D1D07" w:rsidRDefault="001147D6" w:rsidP="00657FEB">
            <w:pPr>
              <w:jc w:val="right"/>
              <w:rPr>
                <w:rFonts w:ascii="Calibri" w:hAnsi="Calibri" w:cs="Arial"/>
              </w:rPr>
            </w:pPr>
            <w:r w:rsidRPr="009D1D07">
              <w:rPr>
                <w:rFonts w:ascii="Calibri" w:hAnsi="Calibri" w:cs="Arial"/>
              </w:rPr>
              <w:t>7,60</w:t>
            </w:r>
          </w:p>
        </w:tc>
        <w:tc>
          <w:tcPr>
            <w:tcW w:w="850" w:type="dxa"/>
          </w:tcPr>
          <w:p w:rsidR="001147D6" w:rsidRPr="009D1D07" w:rsidRDefault="001147D6" w:rsidP="00657FEB">
            <w:pPr>
              <w:jc w:val="right"/>
              <w:rPr>
                <w:rFonts w:ascii="Calibri" w:hAnsi="Calibri" w:cs="Arial"/>
              </w:rPr>
            </w:pPr>
            <w:r w:rsidRPr="009D1D07">
              <w:rPr>
                <w:rFonts w:ascii="Calibri" w:hAnsi="Calibri" w:cs="Arial"/>
              </w:rPr>
              <w:t>8,00</w:t>
            </w:r>
          </w:p>
        </w:tc>
      </w:tr>
      <w:tr w:rsidR="001147D6" w:rsidRPr="009D1D07" w:rsidTr="00657FEB">
        <w:tc>
          <w:tcPr>
            <w:tcW w:w="850" w:type="dxa"/>
            <w:shd w:val="clear" w:color="auto" w:fill="D9D9D9" w:themeFill="background1" w:themeFillShade="D9"/>
          </w:tcPr>
          <w:p w:rsidR="001147D6" w:rsidRPr="009D1D07" w:rsidRDefault="001147D6" w:rsidP="00657FEB">
            <w:pPr>
              <w:spacing w:line="300" w:lineRule="exact"/>
              <w:ind w:right="72"/>
              <w:jc w:val="right"/>
              <w:rPr>
                <w:rFonts w:ascii="Calibri" w:eastAsia="Arial Unicode MS" w:hAnsi="Calibri"/>
                <w:sz w:val="14"/>
                <w:szCs w:val="14"/>
              </w:rPr>
            </w:pPr>
            <w:r w:rsidRPr="009D1D07">
              <w:rPr>
                <w:rFonts w:ascii="Calibri" w:hAnsi="Calibri"/>
                <w:sz w:val="14"/>
                <w:szCs w:val="14"/>
              </w:rPr>
              <w:t>70 - &lt;80</w:t>
            </w:r>
          </w:p>
        </w:tc>
        <w:tc>
          <w:tcPr>
            <w:tcW w:w="710" w:type="dxa"/>
          </w:tcPr>
          <w:p w:rsidR="001147D6" w:rsidRPr="009D1D07" w:rsidRDefault="001147D6" w:rsidP="00657FEB">
            <w:pPr>
              <w:jc w:val="right"/>
              <w:rPr>
                <w:rFonts w:ascii="Calibri" w:hAnsi="Calibri" w:cs="Arial"/>
              </w:rPr>
            </w:pPr>
            <w:r w:rsidRPr="009D1D07">
              <w:rPr>
                <w:rFonts w:ascii="Calibri" w:hAnsi="Calibri" w:cs="Arial"/>
              </w:rPr>
              <w:t>5,70</w:t>
            </w:r>
          </w:p>
        </w:tc>
        <w:tc>
          <w:tcPr>
            <w:tcW w:w="708" w:type="dxa"/>
          </w:tcPr>
          <w:p w:rsidR="001147D6" w:rsidRPr="009D1D07" w:rsidRDefault="001147D6" w:rsidP="00657FEB">
            <w:pPr>
              <w:jc w:val="right"/>
              <w:rPr>
                <w:rFonts w:ascii="Calibri" w:hAnsi="Calibri" w:cs="Arial"/>
              </w:rPr>
            </w:pPr>
            <w:r w:rsidRPr="009D1D07">
              <w:rPr>
                <w:rFonts w:ascii="Calibri" w:hAnsi="Calibri" w:cs="Arial"/>
              </w:rPr>
              <w:t>5,40</w:t>
            </w:r>
          </w:p>
        </w:tc>
        <w:tc>
          <w:tcPr>
            <w:tcW w:w="851" w:type="dxa"/>
          </w:tcPr>
          <w:p w:rsidR="001147D6" w:rsidRPr="009D1D07" w:rsidRDefault="001147D6" w:rsidP="00657FEB">
            <w:pPr>
              <w:jc w:val="right"/>
              <w:rPr>
                <w:rFonts w:ascii="Calibri" w:hAnsi="Calibri" w:cs="Arial"/>
              </w:rPr>
            </w:pPr>
            <w:r w:rsidRPr="009D1D07">
              <w:rPr>
                <w:rFonts w:ascii="Calibri" w:hAnsi="Calibri" w:cs="Arial"/>
              </w:rPr>
              <w:t>5,50</w:t>
            </w:r>
          </w:p>
        </w:tc>
        <w:tc>
          <w:tcPr>
            <w:tcW w:w="850" w:type="dxa"/>
          </w:tcPr>
          <w:p w:rsidR="001147D6" w:rsidRPr="009D1D07" w:rsidRDefault="001147D6" w:rsidP="00657FEB">
            <w:pPr>
              <w:jc w:val="right"/>
              <w:rPr>
                <w:rFonts w:ascii="Calibri" w:hAnsi="Calibri" w:cs="Arial"/>
              </w:rPr>
            </w:pPr>
            <w:r w:rsidRPr="009D1D07">
              <w:rPr>
                <w:rFonts w:ascii="Calibri" w:hAnsi="Calibri" w:cs="Arial"/>
              </w:rPr>
              <w:t>5,60</w:t>
            </w:r>
          </w:p>
        </w:tc>
        <w:tc>
          <w:tcPr>
            <w:tcW w:w="851" w:type="dxa"/>
          </w:tcPr>
          <w:p w:rsidR="001147D6" w:rsidRPr="009D1D07" w:rsidRDefault="001147D6" w:rsidP="00657FEB">
            <w:pPr>
              <w:jc w:val="right"/>
              <w:rPr>
                <w:rFonts w:ascii="Calibri" w:hAnsi="Calibri" w:cs="Arial"/>
              </w:rPr>
            </w:pPr>
            <w:r w:rsidRPr="009D1D07">
              <w:rPr>
                <w:rFonts w:ascii="Calibri" w:hAnsi="Calibri" w:cs="Arial"/>
              </w:rPr>
              <w:t>5,80</w:t>
            </w:r>
          </w:p>
        </w:tc>
        <w:tc>
          <w:tcPr>
            <w:tcW w:w="850" w:type="dxa"/>
          </w:tcPr>
          <w:p w:rsidR="001147D6" w:rsidRPr="009D1D07" w:rsidRDefault="001147D6" w:rsidP="00657FEB">
            <w:pPr>
              <w:jc w:val="right"/>
              <w:rPr>
                <w:rFonts w:ascii="Calibri" w:hAnsi="Calibri" w:cs="Arial"/>
              </w:rPr>
            </w:pPr>
            <w:r w:rsidRPr="009D1D07">
              <w:rPr>
                <w:rFonts w:ascii="Calibri" w:hAnsi="Calibri" w:cs="Arial"/>
              </w:rPr>
              <w:t>6,10</w:t>
            </w:r>
          </w:p>
        </w:tc>
        <w:tc>
          <w:tcPr>
            <w:tcW w:w="851" w:type="dxa"/>
          </w:tcPr>
          <w:p w:rsidR="001147D6" w:rsidRPr="009D1D07" w:rsidRDefault="001147D6" w:rsidP="00657FEB">
            <w:pPr>
              <w:jc w:val="right"/>
              <w:rPr>
                <w:rFonts w:ascii="Calibri" w:hAnsi="Calibri" w:cs="Arial"/>
              </w:rPr>
            </w:pPr>
            <w:r w:rsidRPr="009D1D07">
              <w:rPr>
                <w:rFonts w:ascii="Calibri" w:hAnsi="Calibri" w:cs="Arial"/>
              </w:rPr>
              <w:t>6,40</w:t>
            </w:r>
          </w:p>
        </w:tc>
        <w:tc>
          <w:tcPr>
            <w:tcW w:w="850" w:type="dxa"/>
          </w:tcPr>
          <w:p w:rsidR="001147D6" w:rsidRPr="009D1D07" w:rsidRDefault="001147D6" w:rsidP="00657FEB">
            <w:pPr>
              <w:jc w:val="right"/>
              <w:rPr>
                <w:rFonts w:ascii="Calibri" w:hAnsi="Calibri" w:cs="Arial"/>
              </w:rPr>
            </w:pPr>
            <w:r w:rsidRPr="009D1D07">
              <w:rPr>
                <w:rFonts w:ascii="Calibri" w:hAnsi="Calibri" w:cs="Arial"/>
              </w:rPr>
              <w:t>6,90</w:t>
            </w:r>
          </w:p>
        </w:tc>
        <w:tc>
          <w:tcPr>
            <w:tcW w:w="851" w:type="dxa"/>
          </w:tcPr>
          <w:p w:rsidR="001147D6" w:rsidRPr="009D1D07" w:rsidRDefault="001147D6" w:rsidP="00657FEB">
            <w:pPr>
              <w:jc w:val="right"/>
              <w:rPr>
                <w:rFonts w:ascii="Calibri" w:hAnsi="Calibri" w:cs="Arial"/>
              </w:rPr>
            </w:pPr>
            <w:r w:rsidRPr="009D1D07">
              <w:rPr>
                <w:rFonts w:ascii="Calibri" w:hAnsi="Calibri" w:cs="Arial"/>
              </w:rPr>
              <w:t>7,50</w:t>
            </w:r>
          </w:p>
        </w:tc>
        <w:tc>
          <w:tcPr>
            <w:tcW w:w="850" w:type="dxa"/>
          </w:tcPr>
          <w:p w:rsidR="001147D6" w:rsidRPr="009D1D07" w:rsidRDefault="001147D6" w:rsidP="00657FEB">
            <w:pPr>
              <w:jc w:val="right"/>
              <w:rPr>
                <w:rFonts w:ascii="Calibri" w:hAnsi="Calibri" w:cs="Arial"/>
              </w:rPr>
            </w:pPr>
            <w:r w:rsidRPr="009D1D07">
              <w:rPr>
                <w:rFonts w:ascii="Calibri" w:hAnsi="Calibri" w:cs="Arial"/>
              </w:rPr>
              <w:t>7,80</w:t>
            </w:r>
          </w:p>
        </w:tc>
      </w:tr>
      <w:tr w:rsidR="001147D6" w:rsidRPr="009D1D07" w:rsidTr="00657FEB">
        <w:tc>
          <w:tcPr>
            <w:tcW w:w="850" w:type="dxa"/>
            <w:shd w:val="clear" w:color="auto" w:fill="D9D9D9" w:themeFill="background1" w:themeFillShade="D9"/>
          </w:tcPr>
          <w:p w:rsidR="001147D6" w:rsidRPr="009D1D07" w:rsidRDefault="001147D6" w:rsidP="00657FEB">
            <w:pPr>
              <w:spacing w:line="300" w:lineRule="exact"/>
              <w:ind w:right="72"/>
              <w:jc w:val="right"/>
              <w:rPr>
                <w:rFonts w:ascii="Calibri" w:eastAsia="Arial Unicode MS" w:hAnsi="Calibri"/>
                <w:sz w:val="14"/>
                <w:szCs w:val="14"/>
              </w:rPr>
            </w:pPr>
            <w:r w:rsidRPr="009D1D07">
              <w:rPr>
                <w:rFonts w:ascii="Calibri" w:hAnsi="Calibri"/>
                <w:sz w:val="14"/>
                <w:szCs w:val="14"/>
              </w:rPr>
              <w:t>80 - &lt;100</w:t>
            </w:r>
          </w:p>
        </w:tc>
        <w:tc>
          <w:tcPr>
            <w:tcW w:w="710" w:type="dxa"/>
          </w:tcPr>
          <w:p w:rsidR="001147D6" w:rsidRPr="009D1D07" w:rsidRDefault="001147D6" w:rsidP="00657FEB">
            <w:pPr>
              <w:jc w:val="right"/>
              <w:rPr>
                <w:rFonts w:ascii="Calibri" w:hAnsi="Calibri" w:cs="Arial"/>
              </w:rPr>
            </w:pPr>
            <w:r w:rsidRPr="009D1D07">
              <w:rPr>
                <w:rFonts w:ascii="Calibri" w:hAnsi="Calibri" w:cs="Arial"/>
              </w:rPr>
              <w:t>5,60</w:t>
            </w:r>
          </w:p>
        </w:tc>
        <w:tc>
          <w:tcPr>
            <w:tcW w:w="708" w:type="dxa"/>
          </w:tcPr>
          <w:p w:rsidR="001147D6" w:rsidRPr="009D1D07" w:rsidRDefault="001147D6" w:rsidP="00657FEB">
            <w:pPr>
              <w:jc w:val="right"/>
              <w:rPr>
                <w:rFonts w:ascii="Calibri" w:hAnsi="Calibri" w:cs="Arial"/>
              </w:rPr>
            </w:pPr>
            <w:r w:rsidRPr="009D1D07">
              <w:rPr>
                <w:rFonts w:ascii="Calibri" w:hAnsi="Calibri" w:cs="Arial"/>
              </w:rPr>
              <w:t>5,30</w:t>
            </w:r>
          </w:p>
        </w:tc>
        <w:tc>
          <w:tcPr>
            <w:tcW w:w="851" w:type="dxa"/>
          </w:tcPr>
          <w:p w:rsidR="001147D6" w:rsidRPr="009D1D07" w:rsidRDefault="001147D6" w:rsidP="00657FEB">
            <w:pPr>
              <w:jc w:val="right"/>
              <w:rPr>
                <w:rFonts w:ascii="Calibri" w:hAnsi="Calibri" w:cs="Arial"/>
              </w:rPr>
            </w:pPr>
            <w:r w:rsidRPr="009D1D07">
              <w:rPr>
                <w:rFonts w:ascii="Calibri" w:hAnsi="Calibri" w:cs="Arial"/>
              </w:rPr>
              <w:t>5,40</w:t>
            </w:r>
          </w:p>
        </w:tc>
        <w:tc>
          <w:tcPr>
            <w:tcW w:w="850" w:type="dxa"/>
          </w:tcPr>
          <w:p w:rsidR="001147D6" w:rsidRPr="009D1D07" w:rsidRDefault="001147D6" w:rsidP="00657FEB">
            <w:pPr>
              <w:jc w:val="right"/>
              <w:rPr>
                <w:rFonts w:ascii="Calibri" w:hAnsi="Calibri" w:cs="Arial"/>
              </w:rPr>
            </w:pPr>
            <w:r w:rsidRPr="009D1D07">
              <w:rPr>
                <w:rFonts w:ascii="Calibri" w:hAnsi="Calibri" w:cs="Arial"/>
              </w:rPr>
              <w:t>5,50</w:t>
            </w:r>
          </w:p>
        </w:tc>
        <w:tc>
          <w:tcPr>
            <w:tcW w:w="851" w:type="dxa"/>
          </w:tcPr>
          <w:p w:rsidR="001147D6" w:rsidRPr="009D1D07" w:rsidRDefault="001147D6" w:rsidP="00657FEB">
            <w:pPr>
              <w:jc w:val="right"/>
              <w:rPr>
                <w:rFonts w:ascii="Calibri" w:hAnsi="Calibri" w:cs="Arial"/>
              </w:rPr>
            </w:pPr>
            <w:r w:rsidRPr="009D1D07">
              <w:rPr>
                <w:rFonts w:ascii="Calibri" w:hAnsi="Calibri" w:cs="Arial"/>
              </w:rPr>
              <w:t>5,80</w:t>
            </w:r>
          </w:p>
        </w:tc>
        <w:tc>
          <w:tcPr>
            <w:tcW w:w="850" w:type="dxa"/>
          </w:tcPr>
          <w:p w:rsidR="001147D6" w:rsidRPr="009D1D07" w:rsidRDefault="001147D6" w:rsidP="00657FEB">
            <w:pPr>
              <w:jc w:val="right"/>
              <w:rPr>
                <w:rFonts w:ascii="Calibri" w:hAnsi="Calibri" w:cs="Arial"/>
              </w:rPr>
            </w:pPr>
            <w:r w:rsidRPr="009D1D07">
              <w:rPr>
                <w:rFonts w:ascii="Calibri" w:hAnsi="Calibri" w:cs="Arial"/>
              </w:rPr>
              <w:t>6,00</w:t>
            </w:r>
          </w:p>
        </w:tc>
        <w:tc>
          <w:tcPr>
            <w:tcW w:w="851" w:type="dxa"/>
          </w:tcPr>
          <w:p w:rsidR="001147D6" w:rsidRPr="009D1D07" w:rsidRDefault="001147D6" w:rsidP="00657FEB">
            <w:pPr>
              <w:jc w:val="right"/>
              <w:rPr>
                <w:rFonts w:ascii="Calibri" w:hAnsi="Calibri" w:cs="Arial"/>
              </w:rPr>
            </w:pPr>
            <w:r w:rsidRPr="009D1D07">
              <w:rPr>
                <w:rFonts w:ascii="Calibri" w:hAnsi="Calibri" w:cs="Arial"/>
              </w:rPr>
              <w:t>6,30</w:t>
            </w:r>
          </w:p>
        </w:tc>
        <w:tc>
          <w:tcPr>
            <w:tcW w:w="850" w:type="dxa"/>
          </w:tcPr>
          <w:p w:rsidR="001147D6" w:rsidRPr="009D1D07" w:rsidRDefault="001147D6" w:rsidP="00657FEB">
            <w:pPr>
              <w:jc w:val="right"/>
              <w:rPr>
                <w:rFonts w:ascii="Calibri" w:hAnsi="Calibri" w:cs="Arial"/>
              </w:rPr>
            </w:pPr>
            <w:r w:rsidRPr="009D1D07">
              <w:rPr>
                <w:rFonts w:ascii="Calibri" w:hAnsi="Calibri" w:cs="Arial"/>
              </w:rPr>
              <w:t>6,80</w:t>
            </w:r>
          </w:p>
        </w:tc>
        <w:tc>
          <w:tcPr>
            <w:tcW w:w="851" w:type="dxa"/>
          </w:tcPr>
          <w:p w:rsidR="001147D6" w:rsidRPr="009D1D07" w:rsidRDefault="001147D6" w:rsidP="00657FEB">
            <w:pPr>
              <w:jc w:val="right"/>
              <w:rPr>
                <w:rFonts w:ascii="Calibri" w:hAnsi="Calibri" w:cs="Arial"/>
              </w:rPr>
            </w:pPr>
            <w:r w:rsidRPr="009D1D07">
              <w:rPr>
                <w:rFonts w:ascii="Calibri" w:hAnsi="Calibri" w:cs="Arial"/>
              </w:rPr>
              <w:t>7,40</w:t>
            </w:r>
          </w:p>
        </w:tc>
        <w:tc>
          <w:tcPr>
            <w:tcW w:w="850" w:type="dxa"/>
          </w:tcPr>
          <w:p w:rsidR="001147D6" w:rsidRPr="009D1D07" w:rsidRDefault="001147D6" w:rsidP="00657FEB">
            <w:pPr>
              <w:jc w:val="right"/>
              <w:rPr>
                <w:rFonts w:ascii="Calibri" w:hAnsi="Calibri" w:cs="Arial"/>
              </w:rPr>
            </w:pPr>
            <w:r w:rsidRPr="009D1D07">
              <w:rPr>
                <w:rFonts w:ascii="Calibri" w:hAnsi="Calibri" w:cs="Arial"/>
              </w:rPr>
              <w:t>7,70</w:t>
            </w:r>
          </w:p>
        </w:tc>
      </w:tr>
      <w:tr w:rsidR="001147D6" w:rsidRPr="009D1D07" w:rsidTr="00657FEB">
        <w:tc>
          <w:tcPr>
            <w:tcW w:w="850" w:type="dxa"/>
            <w:shd w:val="clear" w:color="auto" w:fill="D9D9D9" w:themeFill="background1" w:themeFillShade="D9"/>
          </w:tcPr>
          <w:p w:rsidR="001147D6" w:rsidRPr="009D1D07" w:rsidRDefault="001147D6" w:rsidP="00657FEB">
            <w:pPr>
              <w:spacing w:line="300" w:lineRule="exact"/>
              <w:ind w:right="72"/>
              <w:jc w:val="right"/>
              <w:rPr>
                <w:rFonts w:ascii="Calibri" w:eastAsia="Arial Unicode MS" w:hAnsi="Calibri"/>
                <w:sz w:val="14"/>
                <w:szCs w:val="14"/>
              </w:rPr>
            </w:pPr>
            <w:r w:rsidRPr="009D1D07">
              <w:rPr>
                <w:rFonts w:ascii="Calibri" w:hAnsi="Calibri"/>
                <w:sz w:val="14"/>
                <w:szCs w:val="14"/>
              </w:rPr>
              <w:t>ab 100</w:t>
            </w:r>
          </w:p>
        </w:tc>
        <w:tc>
          <w:tcPr>
            <w:tcW w:w="710" w:type="dxa"/>
          </w:tcPr>
          <w:p w:rsidR="001147D6" w:rsidRPr="009D1D07" w:rsidRDefault="001147D6" w:rsidP="00657FEB">
            <w:pPr>
              <w:jc w:val="right"/>
              <w:rPr>
                <w:rFonts w:ascii="Calibri" w:hAnsi="Calibri" w:cs="Arial"/>
              </w:rPr>
            </w:pPr>
            <w:r w:rsidRPr="009D1D07">
              <w:rPr>
                <w:rFonts w:ascii="Calibri" w:hAnsi="Calibri" w:cs="Arial"/>
              </w:rPr>
              <w:t>5,60</w:t>
            </w:r>
          </w:p>
        </w:tc>
        <w:tc>
          <w:tcPr>
            <w:tcW w:w="708" w:type="dxa"/>
          </w:tcPr>
          <w:p w:rsidR="001147D6" w:rsidRPr="009D1D07" w:rsidRDefault="001147D6" w:rsidP="00657FEB">
            <w:pPr>
              <w:jc w:val="right"/>
              <w:rPr>
                <w:rFonts w:ascii="Calibri" w:hAnsi="Calibri" w:cs="Arial"/>
              </w:rPr>
            </w:pPr>
            <w:r w:rsidRPr="009D1D07">
              <w:rPr>
                <w:rFonts w:ascii="Calibri" w:hAnsi="Calibri" w:cs="Arial"/>
              </w:rPr>
              <w:t>5,20</w:t>
            </w:r>
          </w:p>
        </w:tc>
        <w:tc>
          <w:tcPr>
            <w:tcW w:w="851" w:type="dxa"/>
          </w:tcPr>
          <w:p w:rsidR="001147D6" w:rsidRPr="009D1D07" w:rsidRDefault="001147D6" w:rsidP="00657FEB">
            <w:pPr>
              <w:jc w:val="right"/>
              <w:rPr>
                <w:rFonts w:ascii="Calibri" w:hAnsi="Calibri" w:cs="Arial"/>
              </w:rPr>
            </w:pPr>
            <w:r w:rsidRPr="009D1D07">
              <w:rPr>
                <w:rFonts w:ascii="Calibri" w:hAnsi="Calibri" w:cs="Arial"/>
              </w:rPr>
              <w:t>5,30</w:t>
            </w:r>
          </w:p>
        </w:tc>
        <w:tc>
          <w:tcPr>
            <w:tcW w:w="850" w:type="dxa"/>
          </w:tcPr>
          <w:p w:rsidR="001147D6" w:rsidRPr="009D1D07" w:rsidRDefault="001147D6" w:rsidP="00657FEB">
            <w:pPr>
              <w:jc w:val="right"/>
              <w:rPr>
                <w:rFonts w:ascii="Calibri" w:hAnsi="Calibri" w:cs="Arial"/>
              </w:rPr>
            </w:pPr>
            <w:r w:rsidRPr="009D1D07">
              <w:rPr>
                <w:rFonts w:ascii="Calibri" w:hAnsi="Calibri" w:cs="Arial"/>
              </w:rPr>
              <w:t>5,50</w:t>
            </w:r>
          </w:p>
        </w:tc>
        <w:tc>
          <w:tcPr>
            <w:tcW w:w="851" w:type="dxa"/>
          </w:tcPr>
          <w:p w:rsidR="001147D6" w:rsidRPr="009D1D07" w:rsidRDefault="001147D6" w:rsidP="00657FEB">
            <w:pPr>
              <w:jc w:val="right"/>
              <w:rPr>
                <w:rFonts w:ascii="Calibri" w:hAnsi="Calibri" w:cs="Arial"/>
              </w:rPr>
            </w:pPr>
            <w:r w:rsidRPr="009D1D07">
              <w:rPr>
                <w:rFonts w:ascii="Calibri" w:hAnsi="Calibri" w:cs="Arial"/>
              </w:rPr>
              <w:t>5,70</w:t>
            </w:r>
          </w:p>
        </w:tc>
        <w:tc>
          <w:tcPr>
            <w:tcW w:w="850" w:type="dxa"/>
          </w:tcPr>
          <w:p w:rsidR="001147D6" w:rsidRPr="009D1D07" w:rsidRDefault="001147D6" w:rsidP="00657FEB">
            <w:pPr>
              <w:jc w:val="right"/>
              <w:rPr>
                <w:rFonts w:ascii="Calibri" w:hAnsi="Calibri" w:cs="Arial"/>
              </w:rPr>
            </w:pPr>
            <w:r w:rsidRPr="009D1D07">
              <w:rPr>
                <w:rFonts w:ascii="Calibri" w:hAnsi="Calibri" w:cs="Arial"/>
              </w:rPr>
              <w:t>5,90</w:t>
            </w:r>
          </w:p>
        </w:tc>
        <w:tc>
          <w:tcPr>
            <w:tcW w:w="851" w:type="dxa"/>
          </w:tcPr>
          <w:p w:rsidR="001147D6" w:rsidRPr="009D1D07" w:rsidRDefault="001147D6" w:rsidP="00657FEB">
            <w:pPr>
              <w:jc w:val="right"/>
              <w:rPr>
                <w:rFonts w:ascii="Calibri" w:hAnsi="Calibri" w:cs="Arial"/>
              </w:rPr>
            </w:pPr>
            <w:r w:rsidRPr="009D1D07">
              <w:rPr>
                <w:rFonts w:ascii="Calibri" w:hAnsi="Calibri" w:cs="Arial"/>
              </w:rPr>
              <w:t>6,20</w:t>
            </w:r>
          </w:p>
        </w:tc>
        <w:tc>
          <w:tcPr>
            <w:tcW w:w="850" w:type="dxa"/>
          </w:tcPr>
          <w:p w:rsidR="001147D6" w:rsidRPr="009D1D07" w:rsidRDefault="001147D6" w:rsidP="00657FEB">
            <w:pPr>
              <w:jc w:val="right"/>
              <w:rPr>
                <w:rFonts w:ascii="Calibri" w:hAnsi="Calibri" w:cs="Arial"/>
              </w:rPr>
            </w:pPr>
            <w:r w:rsidRPr="009D1D07">
              <w:rPr>
                <w:rFonts w:ascii="Calibri" w:hAnsi="Calibri" w:cs="Arial"/>
              </w:rPr>
              <w:t>6,70</w:t>
            </w:r>
          </w:p>
        </w:tc>
        <w:tc>
          <w:tcPr>
            <w:tcW w:w="851" w:type="dxa"/>
          </w:tcPr>
          <w:p w:rsidR="001147D6" w:rsidRPr="009D1D07" w:rsidRDefault="001147D6" w:rsidP="00657FEB">
            <w:pPr>
              <w:jc w:val="right"/>
              <w:rPr>
                <w:rFonts w:ascii="Calibri" w:hAnsi="Calibri" w:cs="Arial"/>
              </w:rPr>
            </w:pPr>
            <w:r w:rsidRPr="009D1D07">
              <w:rPr>
                <w:rFonts w:ascii="Calibri" w:hAnsi="Calibri" w:cs="Arial"/>
              </w:rPr>
              <w:t>7,20</w:t>
            </w:r>
          </w:p>
        </w:tc>
        <w:tc>
          <w:tcPr>
            <w:tcW w:w="850" w:type="dxa"/>
          </w:tcPr>
          <w:p w:rsidR="001147D6" w:rsidRPr="009D1D07" w:rsidRDefault="001147D6" w:rsidP="00657FEB">
            <w:pPr>
              <w:jc w:val="right"/>
              <w:rPr>
                <w:rFonts w:ascii="Calibri" w:hAnsi="Calibri" w:cs="Arial"/>
              </w:rPr>
            </w:pPr>
            <w:r w:rsidRPr="009D1D07">
              <w:rPr>
                <w:rFonts w:ascii="Calibri" w:hAnsi="Calibri" w:cs="Arial"/>
              </w:rPr>
              <w:t>7,60</w:t>
            </w:r>
          </w:p>
        </w:tc>
      </w:tr>
    </w:tbl>
    <w:p w:rsidR="00EB1CCA" w:rsidRDefault="00EB1CCA" w:rsidP="00DD4FB2">
      <w:pPr>
        <w:jc w:val="both"/>
        <w:rPr>
          <w:rFonts w:ascii="Arial" w:hAnsi="Arial" w:cs="Arial"/>
          <w:sz w:val="22"/>
          <w:szCs w:val="22"/>
        </w:rPr>
      </w:pPr>
    </w:p>
    <w:p w:rsidR="00E057AA" w:rsidRPr="001147D6" w:rsidRDefault="001147D6" w:rsidP="00DD4FB2">
      <w:pPr>
        <w:jc w:val="both"/>
        <w:rPr>
          <w:rFonts w:ascii="Arial" w:hAnsi="Arial" w:cs="Arial"/>
          <w:sz w:val="22"/>
          <w:szCs w:val="22"/>
        </w:rPr>
      </w:pPr>
      <w:r w:rsidRPr="001147D6">
        <w:rPr>
          <w:rFonts w:ascii="Arial" w:hAnsi="Arial" w:cs="Arial"/>
          <w:sz w:val="22"/>
          <w:szCs w:val="22"/>
        </w:rPr>
        <w:t>Die durchschnittliche Nettomiete unabhängig von allen Wohnwertmerkmalen beträgt zum Zeitpunkt der Datenerhebung 6,65</w:t>
      </w:r>
      <w:r>
        <w:rPr>
          <w:rFonts w:ascii="Arial" w:hAnsi="Arial" w:cs="Arial"/>
          <w:sz w:val="22"/>
          <w:szCs w:val="22"/>
        </w:rPr>
        <w:t xml:space="preserve"> Euro/m² (im Jahre 2016 lag die durchschnittliche </w:t>
      </w:r>
      <w:r w:rsidR="00E057AA" w:rsidRPr="001147D6">
        <w:rPr>
          <w:rFonts w:ascii="Arial" w:hAnsi="Arial" w:cs="Arial"/>
          <w:sz w:val="22"/>
          <w:szCs w:val="22"/>
        </w:rPr>
        <w:t xml:space="preserve">Nettomiete </w:t>
      </w:r>
      <w:r>
        <w:rPr>
          <w:rFonts w:ascii="Arial" w:hAnsi="Arial" w:cs="Arial"/>
          <w:sz w:val="22"/>
          <w:szCs w:val="22"/>
        </w:rPr>
        <w:t xml:space="preserve">bei </w:t>
      </w:r>
      <w:r w:rsidR="00E057AA" w:rsidRPr="001147D6">
        <w:rPr>
          <w:rFonts w:ascii="Arial" w:hAnsi="Arial" w:cs="Arial"/>
          <w:sz w:val="22"/>
          <w:szCs w:val="22"/>
        </w:rPr>
        <w:t>5,95 Euro/m</w:t>
      </w:r>
      <w:r w:rsidR="00E057AA" w:rsidRPr="001147D6">
        <w:rPr>
          <w:rFonts w:ascii="Arial" w:hAnsi="Arial" w:cs="Arial"/>
          <w:sz w:val="22"/>
          <w:szCs w:val="22"/>
          <w:vertAlign w:val="superscript"/>
        </w:rPr>
        <w:t>2</w:t>
      </w:r>
      <w:r>
        <w:rPr>
          <w:rFonts w:ascii="Arial" w:hAnsi="Arial" w:cs="Arial"/>
          <w:sz w:val="22"/>
          <w:szCs w:val="22"/>
        </w:rPr>
        <w:t xml:space="preserve">, </w:t>
      </w:r>
      <w:r w:rsidR="00E057AA" w:rsidRPr="001147D6">
        <w:rPr>
          <w:rFonts w:ascii="Arial" w:hAnsi="Arial" w:cs="Arial"/>
          <w:sz w:val="22"/>
          <w:szCs w:val="22"/>
        </w:rPr>
        <w:t>im Jahre 2012 bei 5,50 Euro/m²</w:t>
      </w:r>
      <w:r>
        <w:rPr>
          <w:rFonts w:ascii="Arial" w:hAnsi="Arial" w:cs="Arial"/>
          <w:sz w:val="22"/>
          <w:szCs w:val="22"/>
        </w:rPr>
        <w:t>).</w:t>
      </w:r>
    </w:p>
    <w:p w:rsidR="00E057AA" w:rsidRPr="001147D6" w:rsidRDefault="00E057AA" w:rsidP="00E057AA">
      <w:pPr>
        <w:ind w:left="426" w:hanging="426"/>
        <w:jc w:val="both"/>
        <w:rPr>
          <w:rFonts w:ascii="Arial" w:hAnsi="Arial" w:cs="Arial"/>
          <w:sz w:val="22"/>
          <w:szCs w:val="22"/>
        </w:rPr>
      </w:pPr>
    </w:p>
    <w:p w:rsidR="00E057AA" w:rsidRPr="000F7FBD" w:rsidRDefault="00E057AA" w:rsidP="00E057AA">
      <w:pPr>
        <w:jc w:val="both"/>
        <w:rPr>
          <w:rFonts w:ascii="Arial" w:hAnsi="Arial" w:cs="Arial"/>
          <w:sz w:val="22"/>
          <w:szCs w:val="22"/>
        </w:rPr>
      </w:pPr>
      <w:r w:rsidRPr="000F7FBD">
        <w:rPr>
          <w:rFonts w:ascii="Arial" w:hAnsi="Arial" w:cs="Arial"/>
          <w:sz w:val="22"/>
          <w:szCs w:val="22"/>
        </w:rPr>
        <w:t xml:space="preserve">Die Berechnung der ortsüblichen Vergleichsmiete für eine konkrete Wohnung erfolgt über 3 Tabellen: </w:t>
      </w:r>
    </w:p>
    <w:p w:rsidR="00E057AA" w:rsidRPr="000F7FBD" w:rsidRDefault="00E057AA" w:rsidP="00E057AA">
      <w:pPr>
        <w:numPr>
          <w:ilvl w:val="0"/>
          <w:numId w:val="5"/>
        </w:numPr>
        <w:jc w:val="both"/>
        <w:rPr>
          <w:rFonts w:ascii="Arial" w:hAnsi="Arial" w:cs="Arial"/>
          <w:sz w:val="22"/>
          <w:szCs w:val="22"/>
        </w:rPr>
      </w:pPr>
      <w:r w:rsidRPr="000F7FBD">
        <w:rPr>
          <w:rFonts w:ascii="Arial" w:hAnsi="Arial" w:cs="Arial"/>
          <w:sz w:val="22"/>
          <w:szCs w:val="22"/>
        </w:rPr>
        <w:t xml:space="preserve">In </w:t>
      </w:r>
      <w:r w:rsidRPr="000F7FBD">
        <w:rPr>
          <w:rFonts w:ascii="Arial" w:hAnsi="Arial" w:cs="Arial"/>
          <w:b/>
          <w:sz w:val="22"/>
          <w:szCs w:val="22"/>
        </w:rPr>
        <w:t xml:space="preserve">Tabelle 1 </w:t>
      </w:r>
      <w:r w:rsidRPr="000F7FBD">
        <w:rPr>
          <w:rFonts w:ascii="Arial" w:hAnsi="Arial" w:cs="Arial"/>
          <w:sz w:val="22"/>
          <w:szCs w:val="22"/>
        </w:rPr>
        <w:t>wird das durchschnittliche Mietniveau (= Basis-Nettomiete) nur in Abhängigkeit von Wohnfläche und Baujahr, den beiden wichtigsten Einflussfaktoren auf den Mietpreis, bestimmt (siehe oben).</w:t>
      </w:r>
    </w:p>
    <w:p w:rsidR="00E057AA" w:rsidRPr="000F7FBD" w:rsidRDefault="00E057AA" w:rsidP="00E057AA">
      <w:pPr>
        <w:numPr>
          <w:ilvl w:val="0"/>
          <w:numId w:val="5"/>
        </w:numPr>
        <w:jc w:val="both"/>
        <w:rPr>
          <w:rFonts w:ascii="Arial" w:hAnsi="Arial" w:cs="Arial"/>
          <w:sz w:val="22"/>
          <w:szCs w:val="22"/>
        </w:rPr>
      </w:pPr>
      <w:r w:rsidRPr="000F7FBD">
        <w:rPr>
          <w:rFonts w:ascii="Arial" w:hAnsi="Arial" w:cs="Arial"/>
          <w:sz w:val="22"/>
          <w:szCs w:val="22"/>
        </w:rPr>
        <w:t xml:space="preserve">In </w:t>
      </w:r>
      <w:r w:rsidRPr="000F7FBD">
        <w:rPr>
          <w:rFonts w:ascii="Arial" w:hAnsi="Arial" w:cs="Arial"/>
          <w:b/>
          <w:sz w:val="22"/>
          <w:szCs w:val="22"/>
        </w:rPr>
        <w:t>Tabelle 2</w:t>
      </w:r>
      <w:r w:rsidRPr="000F7FBD">
        <w:rPr>
          <w:rFonts w:ascii="Arial" w:hAnsi="Arial" w:cs="Arial"/>
          <w:sz w:val="22"/>
          <w:szCs w:val="22"/>
        </w:rPr>
        <w:t xml:space="preserve"> (siehe Anlage) werden prozentuale Zu- und Abschläge auf das durchschnittliche Mietniveau aufgrund von Ausstattungs-, Beschaffenheits-, Wohnlage- und sonstigen Besonderheiten für eine Wohnung ermittelt. </w:t>
      </w:r>
    </w:p>
    <w:p w:rsidR="00E057AA" w:rsidRPr="000F7FBD" w:rsidRDefault="00E057AA" w:rsidP="00E057AA">
      <w:pPr>
        <w:numPr>
          <w:ilvl w:val="0"/>
          <w:numId w:val="5"/>
        </w:numPr>
        <w:jc w:val="both"/>
        <w:rPr>
          <w:rFonts w:ascii="Arial" w:hAnsi="Arial" w:cs="Arial"/>
          <w:sz w:val="22"/>
          <w:szCs w:val="22"/>
        </w:rPr>
      </w:pPr>
      <w:r w:rsidRPr="000F7FBD">
        <w:rPr>
          <w:rFonts w:ascii="Arial" w:hAnsi="Arial" w:cs="Arial"/>
          <w:sz w:val="22"/>
          <w:szCs w:val="22"/>
        </w:rPr>
        <w:t xml:space="preserve">In </w:t>
      </w:r>
      <w:r w:rsidRPr="000F7FBD">
        <w:rPr>
          <w:rFonts w:ascii="Arial" w:hAnsi="Arial" w:cs="Arial"/>
          <w:b/>
          <w:sz w:val="22"/>
          <w:szCs w:val="22"/>
        </w:rPr>
        <w:t xml:space="preserve">Tabelle 3 </w:t>
      </w:r>
      <w:r w:rsidRPr="000F7FBD">
        <w:rPr>
          <w:rFonts w:ascii="Arial" w:hAnsi="Arial" w:cs="Arial"/>
          <w:sz w:val="22"/>
          <w:szCs w:val="22"/>
        </w:rPr>
        <w:t>werden die Ergebnisse aus den Tabellen 1 und 2 zusammengeführt, um die ortsübliche Vergleichsmiete zu berechnen (siehe Anlage).</w:t>
      </w:r>
    </w:p>
    <w:p w:rsidR="00E057AA" w:rsidRPr="000F7FBD" w:rsidRDefault="00E057AA" w:rsidP="00E057AA">
      <w:pPr>
        <w:ind w:left="426" w:hanging="426"/>
        <w:jc w:val="both"/>
        <w:rPr>
          <w:rFonts w:ascii="Arial" w:hAnsi="Arial" w:cs="Arial"/>
          <w:sz w:val="22"/>
          <w:szCs w:val="22"/>
        </w:rPr>
      </w:pPr>
    </w:p>
    <w:p w:rsidR="00E057AA" w:rsidRPr="000F7FBD" w:rsidRDefault="00E057AA" w:rsidP="00E057AA">
      <w:pPr>
        <w:ind w:left="426" w:hanging="426"/>
        <w:jc w:val="both"/>
        <w:rPr>
          <w:rFonts w:ascii="Arial" w:hAnsi="Arial" w:cs="Arial"/>
          <w:sz w:val="22"/>
          <w:szCs w:val="22"/>
        </w:rPr>
      </w:pPr>
    </w:p>
    <w:p w:rsidR="00E057AA" w:rsidRPr="000F7FBD" w:rsidRDefault="00E057AA" w:rsidP="00E057AA">
      <w:pPr>
        <w:ind w:left="426" w:hanging="426"/>
        <w:jc w:val="both"/>
        <w:rPr>
          <w:rFonts w:ascii="Arial" w:hAnsi="Arial" w:cs="Arial"/>
          <w:sz w:val="22"/>
          <w:szCs w:val="22"/>
        </w:rPr>
      </w:pPr>
      <w:r w:rsidRPr="000F7FBD">
        <w:rPr>
          <w:rFonts w:ascii="Arial" w:hAnsi="Arial" w:cs="Arial"/>
          <w:sz w:val="22"/>
          <w:szCs w:val="22"/>
          <w:u w:val="single"/>
        </w:rPr>
        <w:t>II. Beschlussvorschlag</w:t>
      </w:r>
    </w:p>
    <w:p w:rsidR="00E057AA" w:rsidRPr="000F7FBD" w:rsidRDefault="00E057AA" w:rsidP="00E057AA">
      <w:pPr>
        <w:jc w:val="both"/>
        <w:rPr>
          <w:rFonts w:ascii="Arial" w:hAnsi="Arial" w:cs="Arial"/>
          <w:sz w:val="22"/>
          <w:szCs w:val="22"/>
        </w:rPr>
      </w:pPr>
      <w:r>
        <w:rPr>
          <w:rFonts w:ascii="Arial" w:hAnsi="Arial" w:cs="Arial"/>
          <w:sz w:val="22"/>
          <w:szCs w:val="22"/>
        </w:rPr>
        <w:t>Der Gemeinderat möge beschließen, dass d</w:t>
      </w:r>
      <w:r w:rsidRPr="000F7FBD">
        <w:rPr>
          <w:rFonts w:ascii="Arial" w:hAnsi="Arial" w:cs="Arial"/>
          <w:sz w:val="22"/>
          <w:szCs w:val="22"/>
        </w:rPr>
        <w:t>er vorliegende Mietspiegel für Frickingen 20</w:t>
      </w:r>
      <w:r w:rsidR="00214534">
        <w:rPr>
          <w:rFonts w:ascii="Arial" w:hAnsi="Arial" w:cs="Arial"/>
          <w:sz w:val="22"/>
          <w:szCs w:val="22"/>
        </w:rPr>
        <w:t>20</w:t>
      </w:r>
      <w:r w:rsidRPr="000F7FBD">
        <w:rPr>
          <w:rFonts w:ascii="Arial" w:hAnsi="Arial" w:cs="Arial"/>
          <w:sz w:val="22"/>
          <w:szCs w:val="22"/>
        </w:rPr>
        <w:t xml:space="preserve"> gemäß § 558 d (1) BGB als quali</w:t>
      </w:r>
      <w:r>
        <w:rPr>
          <w:rFonts w:ascii="Arial" w:hAnsi="Arial" w:cs="Arial"/>
          <w:sz w:val="22"/>
          <w:szCs w:val="22"/>
        </w:rPr>
        <w:t>fizierter Mietspiegel anerkannt wird.</w:t>
      </w:r>
    </w:p>
    <w:p w:rsidR="00E057AA" w:rsidRPr="000F7FBD" w:rsidRDefault="00E057AA" w:rsidP="00E057AA">
      <w:pPr>
        <w:ind w:left="426" w:hanging="426"/>
        <w:jc w:val="both"/>
        <w:rPr>
          <w:rFonts w:ascii="Arial" w:hAnsi="Arial" w:cs="Arial"/>
          <w:sz w:val="22"/>
          <w:szCs w:val="22"/>
        </w:rPr>
      </w:pPr>
    </w:p>
    <w:p w:rsidR="00E057AA" w:rsidRPr="000F7FBD" w:rsidRDefault="00E057AA" w:rsidP="00E057AA">
      <w:pPr>
        <w:ind w:left="426" w:hanging="426"/>
        <w:jc w:val="both"/>
        <w:rPr>
          <w:rFonts w:ascii="Arial" w:hAnsi="Arial" w:cs="Arial"/>
          <w:sz w:val="22"/>
          <w:szCs w:val="22"/>
        </w:rPr>
      </w:pPr>
    </w:p>
    <w:sectPr w:rsidR="00E057AA" w:rsidRPr="000F7FBD" w:rsidSect="00B2138B">
      <w:pgSz w:w="11906" w:h="16838"/>
      <w:pgMar w:top="1418" w:right="1418" w:bottom="1134" w:left="1418" w:header="709" w:footer="709" w:gutter="0"/>
      <w:paperSrc w:first="3"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ldface PS">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565B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5C15D5"/>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445415F0"/>
    <w:multiLevelType w:val="hybridMultilevel"/>
    <w:tmpl w:val="8D6CEA0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52C6886"/>
    <w:multiLevelType w:val="hybridMultilevel"/>
    <w:tmpl w:val="3288EE22"/>
    <w:lvl w:ilvl="0" w:tplc="3C725338">
      <w:start w:val="1"/>
      <w:numFmt w:val="bullet"/>
      <w:lvlText w:val="•"/>
      <w:lvlJc w:val="left"/>
      <w:pPr>
        <w:tabs>
          <w:tab w:val="num" w:pos="720"/>
        </w:tabs>
        <w:ind w:left="720" w:hanging="360"/>
      </w:pPr>
      <w:rPr>
        <w:rFonts w:ascii="Times New Roman" w:hAnsi="Times New Roman" w:hint="default"/>
      </w:rPr>
    </w:lvl>
    <w:lvl w:ilvl="1" w:tplc="148203C2" w:tentative="1">
      <w:start w:val="1"/>
      <w:numFmt w:val="bullet"/>
      <w:lvlText w:val="•"/>
      <w:lvlJc w:val="left"/>
      <w:pPr>
        <w:tabs>
          <w:tab w:val="num" w:pos="1440"/>
        </w:tabs>
        <w:ind w:left="1440" w:hanging="360"/>
      </w:pPr>
      <w:rPr>
        <w:rFonts w:ascii="Times New Roman" w:hAnsi="Times New Roman" w:hint="default"/>
      </w:rPr>
    </w:lvl>
    <w:lvl w:ilvl="2" w:tplc="8FFC2EAA" w:tentative="1">
      <w:start w:val="1"/>
      <w:numFmt w:val="bullet"/>
      <w:lvlText w:val="•"/>
      <w:lvlJc w:val="left"/>
      <w:pPr>
        <w:tabs>
          <w:tab w:val="num" w:pos="2160"/>
        </w:tabs>
        <w:ind w:left="2160" w:hanging="360"/>
      </w:pPr>
      <w:rPr>
        <w:rFonts w:ascii="Times New Roman" w:hAnsi="Times New Roman" w:hint="default"/>
      </w:rPr>
    </w:lvl>
    <w:lvl w:ilvl="3" w:tplc="9E4E87B2" w:tentative="1">
      <w:start w:val="1"/>
      <w:numFmt w:val="bullet"/>
      <w:lvlText w:val="•"/>
      <w:lvlJc w:val="left"/>
      <w:pPr>
        <w:tabs>
          <w:tab w:val="num" w:pos="2880"/>
        </w:tabs>
        <w:ind w:left="2880" w:hanging="360"/>
      </w:pPr>
      <w:rPr>
        <w:rFonts w:ascii="Times New Roman" w:hAnsi="Times New Roman" w:hint="default"/>
      </w:rPr>
    </w:lvl>
    <w:lvl w:ilvl="4" w:tplc="4ADE93E8" w:tentative="1">
      <w:start w:val="1"/>
      <w:numFmt w:val="bullet"/>
      <w:lvlText w:val="•"/>
      <w:lvlJc w:val="left"/>
      <w:pPr>
        <w:tabs>
          <w:tab w:val="num" w:pos="3600"/>
        </w:tabs>
        <w:ind w:left="3600" w:hanging="360"/>
      </w:pPr>
      <w:rPr>
        <w:rFonts w:ascii="Times New Roman" w:hAnsi="Times New Roman" w:hint="default"/>
      </w:rPr>
    </w:lvl>
    <w:lvl w:ilvl="5" w:tplc="95FEDC8C" w:tentative="1">
      <w:start w:val="1"/>
      <w:numFmt w:val="bullet"/>
      <w:lvlText w:val="•"/>
      <w:lvlJc w:val="left"/>
      <w:pPr>
        <w:tabs>
          <w:tab w:val="num" w:pos="4320"/>
        </w:tabs>
        <w:ind w:left="4320" w:hanging="360"/>
      </w:pPr>
      <w:rPr>
        <w:rFonts w:ascii="Times New Roman" w:hAnsi="Times New Roman" w:hint="default"/>
      </w:rPr>
    </w:lvl>
    <w:lvl w:ilvl="6" w:tplc="600C2F40" w:tentative="1">
      <w:start w:val="1"/>
      <w:numFmt w:val="bullet"/>
      <w:lvlText w:val="•"/>
      <w:lvlJc w:val="left"/>
      <w:pPr>
        <w:tabs>
          <w:tab w:val="num" w:pos="5040"/>
        </w:tabs>
        <w:ind w:left="5040" w:hanging="360"/>
      </w:pPr>
      <w:rPr>
        <w:rFonts w:ascii="Times New Roman" w:hAnsi="Times New Roman" w:hint="default"/>
      </w:rPr>
    </w:lvl>
    <w:lvl w:ilvl="7" w:tplc="F49808D8" w:tentative="1">
      <w:start w:val="1"/>
      <w:numFmt w:val="bullet"/>
      <w:lvlText w:val="•"/>
      <w:lvlJc w:val="left"/>
      <w:pPr>
        <w:tabs>
          <w:tab w:val="num" w:pos="5760"/>
        </w:tabs>
        <w:ind w:left="5760" w:hanging="360"/>
      </w:pPr>
      <w:rPr>
        <w:rFonts w:ascii="Times New Roman" w:hAnsi="Times New Roman" w:hint="default"/>
      </w:rPr>
    </w:lvl>
    <w:lvl w:ilvl="8" w:tplc="BE2A0B9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D8237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AA"/>
    <w:rsid w:val="00113151"/>
    <w:rsid w:val="001147D6"/>
    <w:rsid w:val="001E4786"/>
    <w:rsid w:val="00214534"/>
    <w:rsid w:val="00320E35"/>
    <w:rsid w:val="00415BA5"/>
    <w:rsid w:val="00551829"/>
    <w:rsid w:val="007150DD"/>
    <w:rsid w:val="007A0101"/>
    <w:rsid w:val="007F023C"/>
    <w:rsid w:val="008F45FE"/>
    <w:rsid w:val="009E29DC"/>
    <w:rsid w:val="00A33D2E"/>
    <w:rsid w:val="00B2138B"/>
    <w:rsid w:val="00C15458"/>
    <w:rsid w:val="00D26C67"/>
    <w:rsid w:val="00D85AAE"/>
    <w:rsid w:val="00DD4FB2"/>
    <w:rsid w:val="00E057AA"/>
    <w:rsid w:val="00EB1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5647"/>
  <w15:chartTrackingRefBased/>
  <w15:docId w15:val="{D1D1F28D-D8DB-4753-8839-186C518E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57AA"/>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1147D6"/>
    <w:pPr>
      <w:widowControl w:val="0"/>
      <w:spacing w:after="120" w:line="280" w:lineRule="atLeast"/>
      <w:jc w:val="both"/>
    </w:pPr>
    <w:rPr>
      <w:rFonts w:ascii="Arial" w:hAnsi="Arial"/>
      <w:sz w:val="22"/>
    </w:rPr>
  </w:style>
  <w:style w:type="table" w:customStyle="1" w:styleId="TabellemithellemGitternetz11">
    <w:name w:val="Tabelle mit hellem Gitternetz11"/>
    <w:basedOn w:val="NormaleTabelle"/>
    <w:next w:val="TabellemithellemGitternetz"/>
    <w:uiPriority w:val="40"/>
    <w:rsid w:val="001147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mithellemGitternetz">
    <w:name w:val="Grid Table Light"/>
    <w:basedOn w:val="NormaleTabelle"/>
    <w:uiPriority w:val="40"/>
    <w:rsid w:val="001147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B213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138B"/>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9739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Vollstaedt | Gemeinde Frickingen</cp:lastModifiedBy>
  <cp:revision>8</cp:revision>
  <cp:lastPrinted>2020-07-01T11:52:00Z</cp:lastPrinted>
  <dcterms:created xsi:type="dcterms:W3CDTF">2020-07-01T08:14:00Z</dcterms:created>
  <dcterms:modified xsi:type="dcterms:W3CDTF">2020-07-01T13:14:00Z</dcterms:modified>
</cp:coreProperties>
</file>