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17" w:rsidRPr="001D2617" w:rsidRDefault="001D2617" w:rsidP="001D2617">
      <w:pPr>
        <w:overflowPunct w:val="0"/>
        <w:autoSpaceDE w:val="0"/>
        <w:autoSpaceDN w:val="0"/>
        <w:adjustRightInd w:val="0"/>
        <w:spacing w:line="240" w:lineRule="auto"/>
        <w:jc w:val="both"/>
        <w:textAlignment w:val="baseline"/>
        <w:rPr>
          <w:rFonts w:cs="Arial"/>
          <w:b/>
          <w:sz w:val="22"/>
          <w:szCs w:val="22"/>
        </w:rPr>
      </w:pPr>
      <w:r w:rsidRPr="001D2617">
        <w:rPr>
          <w:rFonts w:cs="Arial"/>
          <w:b/>
          <w:sz w:val="22"/>
          <w:szCs w:val="22"/>
        </w:rPr>
        <w:t xml:space="preserve">Tagesordnungspunkt </w:t>
      </w:r>
      <w:r w:rsidR="009A6595">
        <w:rPr>
          <w:rFonts w:cs="Arial"/>
          <w:b/>
          <w:sz w:val="22"/>
          <w:szCs w:val="22"/>
        </w:rPr>
        <w:t>7</w:t>
      </w:r>
      <w:r w:rsidRPr="001D2617">
        <w:rPr>
          <w:rFonts w:cs="Arial"/>
          <w:b/>
          <w:sz w:val="22"/>
          <w:szCs w:val="22"/>
        </w:rPr>
        <w:t>:</w:t>
      </w:r>
    </w:p>
    <w:p w:rsidR="001D2617" w:rsidRDefault="001D2617" w:rsidP="001D2617">
      <w:pPr>
        <w:overflowPunct w:val="0"/>
        <w:autoSpaceDE w:val="0"/>
        <w:autoSpaceDN w:val="0"/>
        <w:adjustRightInd w:val="0"/>
        <w:spacing w:line="240" w:lineRule="auto"/>
        <w:jc w:val="both"/>
        <w:textAlignment w:val="baseline"/>
        <w:rPr>
          <w:rFonts w:cs="Arial"/>
          <w:b/>
          <w:sz w:val="22"/>
          <w:szCs w:val="22"/>
        </w:rPr>
      </w:pPr>
      <w:r w:rsidRPr="001D2617">
        <w:rPr>
          <w:rFonts w:cs="Arial"/>
          <w:b/>
          <w:sz w:val="22"/>
          <w:szCs w:val="22"/>
        </w:rPr>
        <w:t xml:space="preserve">Annahme von Spenden </w:t>
      </w:r>
    </w:p>
    <w:p w:rsidR="00CF6BB7" w:rsidRPr="001D2617" w:rsidRDefault="00CF6BB7" w:rsidP="001D2617">
      <w:pPr>
        <w:overflowPunct w:val="0"/>
        <w:autoSpaceDE w:val="0"/>
        <w:autoSpaceDN w:val="0"/>
        <w:adjustRightInd w:val="0"/>
        <w:spacing w:line="240" w:lineRule="auto"/>
        <w:jc w:val="both"/>
        <w:textAlignment w:val="baseline"/>
        <w:rPr>
          <w:rFonts w:cs="Arial"/>
          <w:sz w:val="22"/>
          <w:szCs w:val="22"/>
          <w:u w:val="single"/>
        </w:rPr>
      </w:pPr>
      <w:bookmarkStart w:id="0" w:name="_GoBack"/>
      <w:bookmarkEnd w:id="0"/>
    </w:p>
    <w:p w:rsidR="001D2617" w:rsidRPr="001D2617" w:rsidRDefault="001D2617" w:rsidP="001D2617">
      <w:pPr>
        <w:overflowPunct w:val="0"/>
        <w:autoSpaceDE w:val="0"/>
        <w:autoSpaceDN w:val="0"/>
        <w:adjustRightInd w:val="0"/>
        <w:spacing w:line="240" w:lineRule="auto"/>
        <w:jc w:val="both"/>
        <w:textAlignment w:val="baseline"/>
        <w:rPr>
          <w:rFonts w:cs="Arial"/>
          <w:sz w:val="22"/>
          <w:szCs w:val="22"/>
          <w:u w:val="single"/>
        </w:rPr>
      </w:pPr>
      <w:r w:rsidRPr="001D2617">
        <w:rPr>
          <w:rFonts w:cs="Arial"/>
          <w:sz w:val="22"/>
          <w:szCs w:val="22"/>
          <w:u w:val="single"/>
        </w:rPr>
        <w:t>I. Sachvortrag</w:t>
      </w:r>
    </w:p>
    <w:p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 xml:space="preserve">Aufgrund von § 78 Absatz 4 der Gemeindeordnung Baden-Württemberg hat der Gemeinderat Frickingen über die Annahme und die Verteilung von Spenden zu entscheiden.  </w:t>
      </w:r>
    </w:p>
    <w:p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p>
    <w:p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Mit diesen Bestimmungen soll die Öffentlichkeit über den Eingang von Spenden informiert werden. Die so hergestellte Transparenz soll dem Abhängigkeitsgedanken von Spender und Gemeinde entgegen wirken. Grundsätzlich wird zwischen eingegangenen und angebotenen Spenden unterschieden.</w:t>
      </w:r>
    </w:p>
    <w:p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p>
    <w:p w:rsidR="001D2617" w:rsidRDefault="002C27AF" w:rsidP="001D2617">
      <w:pPr>
        <w:overflowPunct w:val="0"/>
        <w:autoSpaceDE w:val="0"/>
        <w:autoSpaceDN w:val="0"/>
        <w:adjustRightInd w:val="0"/>
        <w:spacing w:line="240" w:lineRule="auto"/>
        <w:jc w:val="both"/>
        <w:textAlignment w:val="baseline"/>
        <w:rPr>
          <w:rFonts w:cs="Arial"/>
          <w:sz w:val="22"/>
          <w:szCs w:val="22"/>
        </w:rPr>
      </w:pPr>
      <w:r>
        <w:rPr>
          <w:rFonts w:cs="Arial"/>
          <w:sz w:val="22"/>
          <w:szCs w:val="22"/>
        </w:rPr>
        <w:t>Folgende Geldspende</w:t>
      </w:r>
      <w:r w:rsidR="00CF6BB7">
        <w:rPr>
          <w:rFonts w:cs="Arial"/>
          <w:sz w:val="22"/>
          <w:szCs w:val="22"/>
        </w:rPr>
        <w:t>n</w:t>
      </w:r>
      <w:r>
        <w:rPr>
          <w:rFonts w:cs="Arial"/>
          <w:sz w:val="22"/>
          <w:szCs w:val="22"/>
        </w:rPr>
        <w:t xml:space="preserve"> </w:t>
      </w:r>
      <w:r w:rsidR="009A6595">
        <w:rPr>
          <w:rFonts w:cs="Arial"/>
          <w:sz w:val="22"/>
          <w:szCs w:val="22"/>
        </w:rPr>
        <w:t xml:space="preserve">sind seit der </w:t>
      </w:r>
      <w:r w:rsidR="001D2617" w:rsidRPr="001D2617">
        <w:rPr>
          <w:rFonts w:cs="Arial"/>
          <w:sz w:val="22"/>
          <w:szCs w:val="22"/>
        </w:rPr>
        <w:t>letzten Beschlussfassung ein</w:t>
      </w:r>
      <w:r w:rsidR="009A6595">
        <w:rPr>
          <w:rFonts w:cs="Arial"/>
          <w:sz w:val="22"/>
          <w:szCs w:val="22"/>
        </w:rPr>
        <w:t>gegangen</w:t>
      </w:r>
      <w:r w:rsidR="001D2617" w:rsidRPr="001D2617">
        <w:rPr>
          <w:rFonts w:cs="Arial"/>
          <w:sz w:val="22"/>
          <w:szCs w:val="22"/>
        </w:rPr>
        <w:t xml:space="preserve">: </w:t>
      </w:r>
    </w:p>
    <w:p w:rsidR="002C27AF" w:rsidRPr="002C27AF" w:rsidRDefault="002C27AF" w:rsidP="001D2617">
      <w:pPr>
        <w:overflowPunct w:val="0"/>
        <w:autoSpaceDE w:val="0"/>
        <w:autoSpaceDN w:val="0"/>
        <w:adjustRightInd w:val="0"/>
        <w:spacing w:line="240" w:lineRule="auto"/>
        <w:jc w:val="both"/>
        <w:textAlignment w:val="baseline"/>
        <w:rPr>
          <w:rFonts w:cs="Arial"/>
          <w:sz w:val="12"/>
          <w:szCs w:val="22"/>
        </w:rPr>
      </w:pPr>
    </w:p>
    <w:tbl>
      <w:tblPr>
        <w:tblW w:w="907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34"/>
        <w:gridCol w:w="925"/>
        <w:gridCol w:w="3044"/>
        <w:gridCol w:w="3969"/>
      </w:tblGrid>
      <w:tr w:rsidR="001D2617" w:rsidRPr="001D2617" w:rsidTr="00127D09">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rsidR="001D2617" w:rsidRPr="001D2617" w:rsidRDefault="001D2617" w:rsidP="001D2617">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Datum</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rsidR="001D2617" w:rsidRPr="001D2617" w:rsidRDefault="001D2617" w:rsidP="001D2617">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Betrag</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rsidR="001D2617" w:rsidRPr="001D2617" w:rsidRDefault="001D2617" w:rsidP="001D2617">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Zweck</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rsidR="001D2617" w:rsidRPr="001D2617" w:rsidRDefault="001D2617" w:rsidP="001D2617">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Spender</w:t>
            </w:r>
          </w:p>
        </w:tc>
      </w:tr>
      <w:tr w:rsidR="001D2617" w:rsidRPr="001D2617" w:rsidTr="001D2617">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1D2617" w:rsidRPr="001D2617" w:rsidRDefault="009A6595" w:rsidP="009A6595">
            <w:pPr>
              <w:overflowPunct w:val="0"/>
              <w:autoSpaceDE w:val="0"/>
              <w:autoSpaceDN w:val="0"/>
              <w:adjustRightInd w:val="0"/>
              <w:spacing w:line="240" w:lineRule="auto"/>
              <w:jc w:val="center"/>
              <w:textAlignment w:val="baseline"/>
              <w:rPr>
                <w:rFonts w:cs="Arial"/>
                <w:szCs w:val="22"/>
              </w:rPr>
            </w:pPr>
            <w:r>
              <w:rPr>
                <w:rFonts w:cs="Arial"/>
                <w:szCs w:val="22"/>
              </w:rPr>
              <w:t>02</w:t>
            </w:r>
            <w:r w:rsidR="003F7264">
              <w:rPr>
                <w:rFonts w:cs="Arial"/>
                <w:szCs w:val="22"/>
              </w:rPr>
              <w:t>.</w:t>
            </w:r>
            <w:r>
              <w:rPr>
                <w:rFonts w:cs="Arial"/>
                <w:szCs w:val="22"/>
              </w:rPr>
              <w:t>12</w:t>
            </w:r>
            <w:r w:rsidR="003F7264">
              <w:rPr>
                <w:rFonts w:cs="Arial"/>
                <w:szCs w:val="22"/>
              </w:rPr>
              <w:t>.</w:t>
            </w:r>
            <w:r>
              <w:rPr>
                <w:rFonts w:cs="Arial"/>
                <w:szCs w:val="22"/>
              </w:rPr>
              <w:t>2019</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1D2617" w:rsidRPr="001D2617" w:rsidRDefault="009A6595" w:rsidP="007A795F">
            <w:pPr>
              <w:overflowPunct w:val="0"/>
              <w:autoSpaceDE w:val="0"/>
              <w:autoSpaceDN w:val="0"/>
              <w:adjustRightInd w:val="0"/>
              <w:spacing w:line="240" w:lineRule="auto"/>
              <w:jc w:val="center"/>
              <w:textAlignment w:val="baseline"/>
              <w:rPr>
                <w:rFonts w:cs="Arial"/>
                <w:szCs w:val="22"/>
              </w:rPr>
            </w:pPr>
            <w:r>
              <w:rPr>
                <w:rFonts w:cs="Arial"/>
                <w:szCs w:val="22"/>
              </w:rPr>
              <w:t>200,00</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1D2617" w:rsidRPr="001D2617" w:rsidRDefault="009A6595" w:rsidP="001D2617">
            <w:pPr>
              <w:overflowPunct w:val="0"/>
              <w:autoSpaceDE w:val="0"/>
              <w:autoSpaceDN w:val="0"/>
              <w:adjustRightInd w:val="0"/>
              <w:spacing w:line="240" w:lineRule="auto"/>
              <w:textAlignment w:val="baseline"/>
              <w:rPr>
                <w:rFonts w:cs="Arial"/>
                <w:szCs w:val="22"/>
              </w:rPr>
            </w:pPr>
            <w:r>
              <w:rPr>
                <w:rFonts w:cs="Arial"/>
                <w:szCs w:val="22"/>
              </w:rPr>
              <w:t>Spende für Vergabe an Bürgerneujahrsempfang 2020</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1D2617" w:rsidRPr="001D2617" w:rsidRDefault="009A6595" w:rsidP="001D2617">
            <w:pPr>
              <w:overflowPunct w:val="0"/>
              <w:autoSpaceDE w:val="0"/>
              <w:autoSpaceDN w:val="0"/>
              <w:adjustRightInd w:val="0"/>
              <w:spacing w:line="240" w:lineRule="auto"/>
              <w:textAlignment w:val="baseline"/>
              <w:rPr>
                <w:rFonts w:cs="Arial"/>
              </w:rPr>
            </w:pPr>
            <w:r>
              <w:rPr>
                <w:rFonts w:cs="Arial"/>
              </w:rPr>
              <w:t>Kessler Landtechnik, Leustetten</w:t>
            </w:r>
          </w:p>
        </w:tc>
      </w:tr>
      <w:tr w:rsidR="007A795F" w:rsidRPr="001D2617" w:rsidTr="007A795F">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16.12.2019</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300,00</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szCs w:val="22"/>
              </w:rPr>
            </w:pPr>
            <w:r>
              <w:rPr>
                <w:rFonts w:cs="Arial"/>
                <w:szCs w:val="22"/>
              </w:rPr>
              <w:t>Spende für Vergabe an Bürgerneujahrsempfang 2020</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rPr>
            </w:pPr>
            <w:r>
              <w:rPr>
                <w:rFonts w:cs="Arial"/>
              </w:rPr>
              <w:t>Sparkasse Salem-Heiligenberg</w:t>
            </w:r>
          </w:p>
        </w:tc>
      </w:tr>
      <w:tr w:rsidR="007A795F" w:rsidRPr="001D2617" w:rsidTr="007A795F">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02.01.2020</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200,00</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szCs w:val="22"/>
              </w:rPr>
            </w:pPr>
            <w:r>
              <w:rPr>
                <w:rFonts w:cs="Arial"/>
                <w:szCs w:val="22"/>
              </w:rPr>
              <w:t>Spende für Vergabe an Bürgerneujahrsempfang 2020</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rPr>
            </w:pPr>
            <w:r>
              <w:rPr>
                <w:rFonts w:cs="Arial"/>
              </w:rPr>
              <w:t>Harald Hügle, Frickingen</w:t>
            </w:r>
          </w:p>
        </w:tc>
      </w:tr>
      <w:tr w:rsidR="007A795F" w:rsidRPr="001D2617" w:rsidTr="007A795F">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07.01.2020</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jc w:val="center"/>
              <w:textAlignment w:val="baseline"/>
              <w:rPr>
                <w:rFonts w:cs="Arial"/>
                <w:szCs w:val="22"/>
              </w:rPr>
            </w:pPr>
            <w:r>
              <w:rPr>
                <w:rFonts w:cs="Arial"/>
                <w:szCs w:val="22"/>
              </w:rPr>
              <w:t>450,00</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szCs w:val="22"/>
              </w:rPr>
            </w:pPr>
            <w:r>
              <w:rPr>
                <w:rFonts w:cs="Arial"/>
                <w:szCs w:val="22"/>
              </w:rPr>
              <w:t>Spende für Vergabe an Bürgerneujahrsempfang 2020</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7A795F" w:rsidRPr="001D2617" w:rsidRDefault="009A6595" w:rsidP="00E41339">
            <w:pPr>
              <w:overflowPunct w:val="0"/>
              <w:autoSpaceDE w:val="0"/>
              <w:autoSpaceDN w:val="0"/>
              <w:adjustRightInd w:val="0"/>
              <w:spacing w:line="240" w:lineRule="auto"/>
              <w:textAlignment w:val="baseline"/>
              <w:rPr>
                <w:rFonts w:cs="Arial"/>
              </w:rPr>
            </w:pPr>
            <w:r>
              <w:rPr>
                <w:rFonts w:cs="Arial"/>
              </w:rPr>
              <w:t xml:space="preserve">Landbäckerei Baader, Frickingen </w:t>
            </w:r>
          </w:p>
        </w:tc>
      </w:tr>
      <w:tr w:rsidR="009A6595" w:rsidRPr="001D2617" w:rsidTr="009A6595">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9A6595" w:rsidRPr="001D2617" w:rsidRDefault="009A6595" w:rsidP="009A6595">
            <w:pPr>
              <w:overflowPunct w:val="0"/>
              <w:autoSpaceDE w:val="0"/>
              <w:autoSpaceDN w:val="0"/>
              <w:adjustRightInd w:val="0"/>
              <w:spacing w:line="240" w:lineRule="auto"/>
              <w:jc w:val="center"/>
              <w:textAlignment w:val="baseline"/>
              <w:rPr>
                <w:rFonts w:cs="Arial"/>
                <w:szCs w:val="22"/>
              </w:rPr>
            </w:pPr>
            <w:r>
              <w:rPr>
                <w:rFonts w:cs="Arial"/>
                <w:szCs w:val="22"/>
              </w:rPr>
              <w:t>20.11.2020</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9A6595" w:rsidRPr="001D2617" w:rsidRDefault="009A6595" w:rsidP="009A6595">
            <w:pPr>
              <w:overflowPunct w:val="0"/>
              <w:autoSpaceDE w:val="0"/>
              <w:autoSpaceDN w:val="0"/>
              <w:adjustRightInd w:val="0"/>
              <w:spacing w:line="240" w:lineRule="auto"/>
              <w:jc w:val="center"/>
              <w:textAlignment w:val="baseline"/>
              <w:rPr>
                <w:rFonts w:cs="Arial"/>
                <w:szCs w:val="22"/>
              </w:rPr>
            </w:pPr>
            <w:r>
              <w:rPr>
                <w:rFonts w:cs="Arial"/>
                <w:szCs w:val="22"/>
              </w:rPr>
              <w:t>1.500,00</w:t>
            </w:r>
          </w:p>
        </w:tc>
        <w:tc>
          <w:tcPr>
            <w:tcW w:w="304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9A6595" w:rsidRPr="001D2617" w:rsidRDefault="009A6595" w:rsidP="000C7E7E">
            <w:pPr>
              <w:overflowPunct w:val="0"/>
              <w:autoSpaceDE w:val="0"/>
              <w:autoSpaceDN w:val="0"/>
              <w:adjustRightInd w:val="0"/>
              <w:spacing w:line="240" w:lineRule="auto"/>
              <w:textAlignment w:val="baseline"/>
              <w:rPr>
                <w:rFonts w:cs="Arial"/>
                <w:szCs w:val="22"/>
              </w:rPr>
            </w:pPr>
            <w:r>
              <w:rPr>
                <w:rFonts w:cs="Arial"/>
                <w:szCs w:val="22"/>
              </w:rPr>
              <w:t>Spende an Kinderhaus Altheim</w:t>
            </w:r>
          </w:p>
        </w:tc>
        <w:tc>
          <w:tcPr>
            <w:tcW w:w="3969"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rsidR="009A6595" w:rsidRDefault="009A6595" w:rsidP="000C7E7E">
            <w:pPr>
              <w:overflowPunct w:val="0"/>
              <w:autoSpaceDE w:val="0"/>
              <w:autoSpaceDN w:val="0"/>
              <w:adjustRightInd w:val="0"/>
              <w:spacing w:line="240" w:lineRule="auto"/>
              <w:textAlignment w:val="baseline"/>
              <w:rPr>
                <w:rFonts w:cs="Arial"/>
              </w:rPr>
            </w:pPr>
            <w:r>
              <w:rPr>
                <w:rFonts w:cs="Arial"/>
              </w:rPr>
              <w:t xml:space="preserve">Volksbank Überlingen – </w:t>
            </w:r>
          </w:p>
          <w:p w:rsidR="009A6595" w:rsidRPr="001D2617" w:rsidRDefault="009A6595" w:rsidP="000C7E7E">
            <w:pPr>
              <w:overflowPunct w:val="0"/>
              <w:autoSpaceDE w:val="0"/>
              <w:autoSpaceDN w:val="0"/>
              <w:adjustRightInd w:val="0"/>
              <w:spacing w:line="240" w:lineRule="auto"/>
              <w:textAlignment w:val="baseline"/>
              <w:rPr>
                <w:rFonts w:cs="Arial"/>
              </w:rPr>
            </w:pPr>
            <w:r>
              <w:rPr>
                <w:rFonts w:cs="Arial"/>
              </w:rPr>
              <w:t xml:space="preserve">Gewinnsparverein e.V. </w:t>
            </w:r>
          </w:p>
        </w:tc>
      </w:tr>
    </w:tbl>
    <w:p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p>
    <w:p w:rsidR="001D2617"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rPr>
      </w:pPr>
      <w:r>
        <w:rPr>
          <w:rFonts w:cs="Arial"/>
          <w:sz w:val="22"/>
          <w:szCs w:val="22"/>
        </w:rPr>
        <w:t xml:space="preserve">Die ersten vier o.g. Spenden wurden auf Beschluss des Gemeinderates vom 10.12.2019 jeweils hälftig an die KjG Frickingen-Altheim </w:t>
      </w:r>
      <w:r w:rsidR="00CF6BB7">
        <w:rPr>
          <w:rFonts w:cs="Arial"/>
          <w:sz w:val="22"/>
          <w:szCs w:val="22"/>
        </w:rPr>
        <w:t xml:space="preserve">sowie </w:t>
      </w:r>
      <w:r>
        <w:rPr>
          <w:rFonts w:cs="Arial"/>
          <w:sz w:val="22"/>
          <w:szCs w:val="22"/>
        </w:rPr>
        <w:t xml:space="preserve">die Musikvereine Frickingen und Altheim weitergeleitet.   </w:t>
      </w:r>
      <w:r w:rsidR="001D2617" w:rsidRPr="001D2617">
        <w:rPr>
          <w:rFonts w:cs="Arial"/>
          <w:sz w:val="22"/>
          <w:szCs w:val="22"/>
        </w:rPr>
        <w:t xml:space="preserve"> </w:t>
      </w:r>
    </w:p>
    <w:p w:rsidR="009A6595"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rPr>
      </w:pPr>
    </w:p>
    <w:p w:rsidR="009A6595"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rPr>
      </w:pPr>
      <w:r>
        <w:rPr>
          <w:rFonts w:cs="Arial"/>
          <w:sz w:val="22"/>
          <w:szCs w:val="22"/>
        </w:rPr>
        <w:t xml:space="preserve">Damit verbleibt einzig die Spende des Gewinnsparvereins der Volksbank Überlingen bei der Gemeinde. Sie soll im Kinderhaus Altheim für den Erwerb von Büchern für eine Bücherecke verwendet werden.  </w:t>
      </w:r>
    </w:p>
    <w:p w:rsidR="009A6595"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rPr>
      </w:pPr>
    </w:p>
    <w:p w:rsidR="009A6595" w:rsidRPr="001D2617"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u w:val="single"/>
        </w:rPr>
      </w:pPr>
    </w:p>
    <w:p w:rsidR="001D2617" w:rsidRPr="001D2617" w:rsidRDefault="001D2617"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u w:val="single"/>
        </w:rPr>
      </w:pPr>
      <w:r w:rsidRPr="001D2617">
        <w:rPr>
          <w:rFonts w:cs="Arial"/>
          <w:sz w:val="22"/>
          <w:szCs w:val="22"/>
          <w:u w:val="single"/>
        </w:rPr>
        <w:t>II. Beschlussvorschlag</w:t>
      </w:r>
    </w:p>
    <w:p w:rsidR="001D2617" w:rsidRPr="001D2617" w:rsidRDefault="001D2617" w:rsidP="001D2617">
      <w:pPr>
        <w:tabs>
          <w:tab w:val="left" w:pos="1276"/>
        </w:tabs>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 xml:space="preserve">Der Gemeinderat möge über die Annahme </w:t>
      </w:r>
      <w:r w:rsidR="007A795F">
        <w:rPr>
          <w:rFonts w:cs="Arial"/>
          <w:sz w:val="22"/>
          <w:szCs w:val="22"/>
        </w:rPr>
        <w:t xml:space="preserve">der eingegangenen Spenden </w:t>
      </w:r>
      <w:r w:rsidRPr="001D2617">
        <w:rPr>
          <w:rFonts w:cs="Arial"/>
          <w:sz w:val="22"/>
          <w:szCs w:val="22"/>
        </w:rPr>
        <w:t>entscheiden.</w:t>
      </w:r>
    </w:p>
    <w:p w:rsidR="001D2617" w:rsidRDefault="001D2617" w:rsidP="004571D6">
      <w:pPr>
        <w:jc w:val="both"/>
        <w:rPr>
          <w:rFonts w:cs="Arial"/>
          <w:sz w:val="22"/>
          <w:szCs w:val="22"/>
        </w:rPr>
      </w:pPr>
    </w:p>
    <w:sectPr w:rsidR="001D2617" w:rsidSect="004571D6">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C446"/>
      </v:shape>
    </w:pict>
  </w:numPicBullet>
  <w:abstractNum w:abstractNumId="0" w15:restartNumberingAfterBreak="0">
    <w:nsid w:val="0152581A"/>
    <w:multiLevelType w:val="hybridMultilevel"/>
    <w:tmpl w:val="C8920CDA"/>
    <w:lvl w:ilvl="0" w:tplc="4AF27DC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64D28"/>
    <w:multiLevelType w:val="hybridMultilevel"/>
    <w:tmpl w:val="8970F4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833BC"/>
    <w:multiLevelType w:val="hybridMultilevel"/>
    <w:tmpl w:val="BD9203D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3646C"/>
    <w:multiLevelType w:val="hybridMultilevel"/>
    <w:tmpl w:val="9710CEE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AC71C6"/>
    <w:multiLevelType w:val="hybridMultilevel"/>
    <w:tmpl w:val="F4864384"/>
    <w:lvl w:ilvl="0" w:tplc="3E709BB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C854220"/>
    <w:multiLevelType w:val="hybridMultilevel"/>
    <w:tmpl w:val="D384F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F72C85"/>
    <w:multiLevelType w:val="hybridMultilevel"/>
    <w:tmpl w:val="0294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BB18FB"/>
    <w:multiLevelType w:val="hybridMultilevel"/>
    <w:tmpl w:val="3B2A4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33BBC"/>
    <w:multiLevelType w:val="hybridMultilevel"/>
    <w:tmpl w:val="3242585C"/>
    <w:lvl w:ilvl="0" w:tplc="11E011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393E32"/>
    <w:multiLevelType w:val="hybridMultilevel"/>
    <w:tmpl w:val="89E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347C97"/>
    <w:multiLevelType w:val="hybridMultilevel"/>
    <w:tmpl w:val="0330B6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780F20"/>
    <w:multiLevelType w:val="hybridMultilevel"/>
    <w:tmpl w:val="EBDA99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56A41E4"/>
    <w:multiLevelType w:val="hybridMultilevel"/>
    <w:tmpl w:val="3926C60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F6333A"/>
    <w:multiLevelType w:val="hybridMultilevel"/>
    <w:tmpl w:val="A258A178"/>
    <w:lvl w:ilvl="0" w:tplc="C2EA0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A77E0C"/>
    <w:multiLevelType w:val="hybridMultilevel"/>
    <w:tmpl w:val="B0A098E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DD6CEE"/>
    <w:multiLevelType w:val="hybridMultilevel"/>
    <w:tmpl w:val="8B48B2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4"/>
  </w:num>
  <w:num w:numId="5">
    <w:abstractNumId w:val="2"/>
  </w:num>
  <w:num w:numId="6">
    <w:abstractNumId w:val="10"/>
  </w:num>
  <w:num w:numId="7">
    <w:abstractNumId w:val="8"/>
  </w:num>
  <w:num w:numId="8">
    <w:abstractNumId w:val="12"/>
  </w:num>
  <w:num w:numId="9">
    <w:abstractNumId w:val="7"/>
  </w:num>
  <w:num w:numId="10">
    <w:abstractNumId w:val="15"/>
  </w:num>
  <w:num w:numId="11">
    <w:abstractNumId w:val="11"/>
  </w:num>
  <w:num w:numId="12">
    <w:abstractNumId w:val="5"/>
  </w:num>
  <w:num w:numId="13">
    <w:abstractNumId w:val="0"/>
  </w:num>
  <w:num w:numId="14">
    <w:abstractNumId w:val="3"/>
  </w:num>
  <w:num w:numId="15">
    <w:abstractNumId w:val="1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6"/>
    <w:rsid w:val="000B64BB"/>
    <w:rsid w:val="001D2617"/>
    <w:rsid w:val="002C27AF"/>
    <w:rsid w:val="00320E14"/>
    <w:rsid w:val="003F7264"/>
    <w:rsid w:val="004571D6"/>
    <w:rsid w:val="00675103"/>
    <w:rsid w:val="007A795F"/>
    <w:rsid w:val="007D27BF"/>
    <w:rsid w:val="007E6B12"/>
    <w:rsid w:val="00800822"/>
    <w:rsid w:val="00894630"/>
    <w:rsid w:val="009554A0"/>
    <w:rsid w:val="009704E3"/>
    <w:rsid w:val="009A6595"/>
    <w:rsid w:val="00A17E65"/>
    <w:rsid w:val="00AD303A"/>
    <w:rsid w:val="00B40D77"/>
    <w:rsid w:val="00C11815"/>
    <w:rsid w:val="00C25176"/>
    <w:rsid w:val="00CF6BB7"/>
    <w:rsid w:val="00DD2A73"/>
    <w:rsid w:val="00E95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9539B4-2AC3-4CA5-9CEE-5C2A57BB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D6"/>
    <w:pPr>
      <w:overflowPunct w:val="0"/>
      <w:autoSpaceDE w:val="0"/>
      <w:autoSpaceDN w:val="0"/>
      <w:adjustRightInd w:val="0"/>
      <w:spacing w:line="240" w:lineRule="auto"/>
      <w:ind w:left="708"/>
      <w:textAlignment w:val="baseline"/>
    </w:pPr>
    <w:rPr>
      <w:rFonts w:ascii="Courier" w:hAnsi="Courier"/>
      <w:sz w:val="24"/>
    </w:rPr>
  </w:style>
  <w:style w:type="paragraph" w:styleId="Sprechblasentext">
    <w:name w:val="Balloon Text"/>
    <w:basedOn w:val="Standard"/>
    <w:link w:val="SprechblasentextZchn"/>
    <w:uiPriority w:val="99"/>
    <w:semiHidden/>
    <w:unhideWhenUsed/>
    <w:rsid w:val="00320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E1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Vollstaedt</dc:creator>
  <cp:lastModifiedBy>Markus Vollstaedt | Gemeinde Frickingen</cp:lastModifiedBy>
  <cp:revision>5</cp:revision>
  <cp:lastPrinted>2020-11-28T11:25:00Z</cp:lastPrinted>
  <dcterms:created xsi:type="dcterms:W3CDTF">2020-11-26T07:54:00Z</dcterms:created>
  <dcterms:modified xsi:type="dcterms:W3CDTF">2020-12-01T09:03:00Z</dcterms:modified>
</cp:coreProperties>
</file>