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B61B" w14:textId="1EEA8F87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303275">
        <w:rPr>
          <w:rFonts w:ascii="Arial" w:hAnsi="Arial" w:cs="Arial"/>
          <w:b/>
          <w:sz w:val="22"/>
          <w:szCs w:val="22"/>
        </w:rPr>
        <w:t>4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393125D2" w14:textId="2942433E" w:rsidR="00303275" w:rsidRPr="00EF1A48" w:rsidRDefault="00303275" w:rsidP="00864D06">
      <w:pPr>
        <w:rPr>
          <w:rFonts w:ascii="Arial" w:hAnsi="Arial" w:cs="Arial"/>
          <w:b/>
          <w:bCs/>
          <w:sz w:val="22"/>
          <w:szCs w:val="22"/>
        </w:rPr>
      </w:pPr>
      <w:r w:rsidRPr="00303275">
        <w:rPr>
          <w:rFonts w:ascii="Arial" w:hAnsi="Arial" w:cs="Arial"/>
          <w:b/>
          <w:bCs/>
          <w:sz w:val="22"/>
          <w:szCs w:val="22"/>
        </w:rPr>
        <w:t>Neue</w:t>
      </w:r>
      <w:r w:rsidR="00256EFD">
        <w:rPr>
          <w:rFonts w:ascii="Arial" w:hAnsi="Arial" w:cs="Arial"/>
          <w:b/>
          <w:bCs/>
          <w:sz w:val="22"/>
          <w:szCs w:val="22"/>
        </w:rPr>
        <w:t xml:space="preserve">s </w:t>
      </w:r>
      <w:r w:rsidRPr="00303275">
        <w:rPr>
          <w:rFonts w:ascii="Arial" w:hAnsi="Arial" w:cs="Arial"/>
          <w:b/>
          <w:bCs/>
          <w:sz w:val="22"/>
          <w:szCs w:val="22"/>
        </w:rPr>
        <w:t>Kommunale</w:t>
      </w:r>
      <w:r w:rsidR="00256EFD">
        <w:rPr>
          <w:rFonts w:ascii="Arial" w:hAnsi="Arial" w:cs="Arial"/>
          <w:b/>
          <w:bCs/>
          <w:sz w:val="22"/>
          <w:szCs w:val="22"/>
        </w:rPr>
        <w:t>s</w:t>
      </w:r>
      <w:r w:rsidRPr="00303275">
        <w:rPr>
          <w:rFonts w:ascii="Arial" w:hAnsi="Arial" w:cs="Arial"/>
          <w:b/>
          <w:bCs/>
          <w:sz w:val="22"/>
          <w:szCs w:val="22"/>
        </w:rPr>
        <w:t xml:space="preserve"> Haushaltsrechts</w:t>
      </w:r>
      <w:r w:rsidR="00EF1A48">
        <w:rPr>
          <w:rFonts w:ascii="Arial" w:hAnsi="Arial" w:cs="Arial"/>
          <w:b/>
          <w:bCs/>
          <w:sz w:val="22"/>
          <w:szCs w:val="22"/>
        </w:rPr>
        <w:t xml:space="preserve"> (NKHR)</w:t>
      </w:r>
      <w:r w:rsidR="00A16B1F">
        <w:rPr>
          <w:rFonts w:ascii="Arial" w:hAnsi="Arial" w:cs="Arial"/>
          <w:b/>
          <w:bCs/>
          <w:sz w:val="22"/>
          <w:szCs w:val="22"/>
        </w:rPr>
        <w:t xml:space="preserve">: </w:t>
      </w:r>
      <w:r w:rsidR="00EF1A48">
        <w:rPr>
          <w:rFonts w:ascii="Arial" w:hAnsi="Arial" w:cs="Arial"/>
          <w:b/>
          <w:bCs/>
          <w:sz w:val="22"/>
          <w:szCs w:val="22"/>
        </w:rPr>
        <w:t>Vermögensbewertung / Eröffnungsbilanz</w:t>
      </w:r>
    </w:p>
    <w:p w14:paraId="2E0695E8" w14:textId="2E454749" w:rsidR="001462B2" w:rsidRPr="00303275" w:rsidRDefault="00303275" w:rsidP="00303275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03275">
        <w:rPr>
          <w:rFonts w:ascii="Arial" w:hAnsi="Arial" w:cs="Arial"/>
          <w:sz w:val="22"/>
          <w:szCs w:val="22"/>
        </w:rPr>
        <w:t xml:space="preserve">Beauftragung </w:t>
      </w:r>
      <w:r w:rsidR="00EF1A48">
        <w:rPr>
          <w:rFonts w:ascii="Arial" w:hAnsi="Arial" w:cs="Arial"/>
          <w:sz w:val="22"/>
          <w:szCs w:val="22"/>
        </w:rPr>
        <w:t xml:space="preserve"> eines Dienstleisters </w:t>
      </w:r>
    </w:p>
    <w:p w14:paraId="7A4A8094" w14:textId="77777777" w:rsidR="00012277" w:rsidRDefault="00012277" w:rsidP="00012277">
      <w:pPr>
        <w:ind w:left="1080"/>
        <w:rPr>
          <w:rFonts w:ascii="Arial" w:hAnsi="Arial" w:cs="Arial"/>
          <w:sz w:val="22"/>
          <w:szCs w:val="22"/>
        </w:rPr>
      </w:pPr>
    </w:p>
    <w:p w14:paraId="28A799D3" w14:textId="77777777" w:rsidR="001E5F04" w:rsidRDefault="001E5F04" w:rsidP="00FC411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C4817D6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59D578EB" w14:textId="0F088424" w:rsidR="00047D74" w:rsidRDefault="00047D74" w:rsidP="00047D7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Nach der Umstellung zum 1. Januar 2020 auf das N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eue Kommunale Haushalts- und Rechnungswesen (N</w:t>
      </w: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KHR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und der damit verbundenen doppelten Buchführung, steht nun in einem weiteren Arbeitsschritt die Erstellung der Eröffnungsbilanzen für die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Gemeinde Frickingen </w:t>
      </w: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an. </w:t>
      </w:r>
    </w:p>
    <w:p w14:paraId="4B6C09F3" w14:textId="77777777" w:rsidR="00047D74" w:rsidRDefault="00047D74" w:rsidP="00047D74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7A2DEB4" w14:textId="4D72DF3C" w:rsidR="00F42D71" w:rsidRPr="00EF1A48" w:rsidRDefault="00047D74" w:rsidP="00F42D71">
      <w:pPr>
        <w:jc w:val="both"/>
        <w:rPr>
          <w:rFonts w:ascii="Arial" w:hAnsi="Arial" w:cs="Arial"/>
          <w:sz w:val="22"/>
          <w:szCs w:val="22"/>
        </w:rPr>
      </w:pP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der Eröffnungsbilanz werden das 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gesamte </w:t>
      </w: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Vermögen und </w:t>
      </w:r>
      <w:r w:rsidR="00EF1A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alle</w:t>
      </w: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Finanzierungsmitte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16B1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der Gemeinde zum Stichtag 01.01.2020 ge</w:t>
      </w:r>
      <w:r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genübergestellt. </w:t>
      </w:r>
      <w:r w:rsidR="00F42D71" w:rsidRPr="00EF1A48">
        <w:rPr>
          <w:rFonts w:ascii="Arial" w:hAnsi="Arial" w:cs="Arial"/>
          <w:sz w:val="22"/>
          <w:szCs w:val="22"/>
        </w:rPr>
        <w:t xml:space="preserve">Dementsprechend hat die </w:t>
      </w:r>
      <w:r w:rsidR="00EF1A48" w:rsidRPr="00EF1A48">
        <w:rPr>
          <w:rFonts w:ascii="Arial" w:hAnsi="Arial" w:cs="Arial"/>
          <w:sz w:val="22"/>
          <w:szCs w:val="22"/>
        </w:rPr>
        <w:t xml:space="preserve">Gemeinde </w:t>
      </w:r>
      <w:r w:rsidR="00EF1A48">
        <w:rPr>
          <w:rFonts w:ascii="Arial" w:hAnsi="Arial" w:cs="Arial"/>
          <w:sz w:val="22"/>
          <w:szCs w:val="22"/>
        </w:rPr>
        <w:t>vollständig i</w:t>
      </w:r>
      <w:r w:rsidR="00F42D71" w:rsidRPr="00EF1A48">
        <w:rPr>
          <w:rFonts w:ascii="Arial" w:hAnsi="Arial" w:cs="Arial"/>
          <w:sz w:val="22"/>
          <w:szCs w:val="22"/>
        </w:rPr>
        <w:t xml:space="preserve">hr Vermögen (immaterielles Vermögen, Sachvermögen und Finanzvermögen) sowie die Schulden </w:t>
      </w:r>
      <w:r w:rsidR="0077475B">
        <w:rPr>
          <w:rFonts w:ascii="Arial" w:hAnsi="Arial" w:cs="Arial"/>
          <w:sz w:val="22"/>
          <w:szCs w:val="22"/>
        </w:rPr>
        <w:t xml:space="preserve">zu diesem Zeitpunkt </w:t>
      </w:r>
      <w:r w:rsidR="00F42D71" w:rsidRPr="00EF1A48">
        <w:rPr>
          <w:rFonts w:ascii="Arial" w:hAnsi="Arial" w:cs="Arial"/>
          <w:sz w:val="22"/>
          <w:szCs w:val="22"/>
        </w:rPr>
        <w:t xml:space="preserve">zu erfassen und zu bewerten. </w:t>
      </w:r>
    </w:p>
    <w:p w14:paraId="781DBB2E" w14:textId="77777777" w:rsidR="00F42D71" w:rsidRPr="00EF1A48" w:rsidRDefault="00F42D71" w:rsidP="00047D74">
      <w:pPr>
        <w:overflowPunct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1FC6FE" w14:textId="25BC1107" w:rsidR="00047D74" w:rsidRPr="00047D74" w:rsidRDefault="00EF1A48" w:rsidP="00047D74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Der Eröffnungsbilanz ist 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ein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ausführlicher </w:t>
      </w:r>
      <w:r w:rsidR="00A16B1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Erläuterungsb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ericht beizufügen</w:t>
      </w:r>
      <w:r w:rsidR="00A16B1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Nach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ihrer 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Erstellung </w:t>
      </w:r>
      <w:r w:rsidR="00A16B1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ist sie 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vom 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Gemeindera</w:t>
      </w:r>
      <w:r w:rsidR="003C3D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 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zu beschließe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 und 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von der Rechtsaufsichtsbehörde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zu prüfen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="00A16B1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Die Eröffnungsbilanz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bildet die Grundlage für den ersten Jahresabschluss nach den Bestimmungen des neuen Haushaltsrechts. </w:t>
      </w:r>
    </w:p>
    <w:p w14:paraId="1309EA74" w14:textId="48EEBFFD" w:rsidR="00047D74" w:rsidRDefault="00047D74" w:rsidP="00047D74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042F399" w14:textId="03C0A42D" w:rsidR="00EF1A48" w:rsidRDefault="00EF1A48" w:rsidP="00EF1A48">
      <w:pPr>
        <w:jc w:val="both"/>
        <w:rPr>
          <w:rFonts w:ascii="Arial" w:hAnsi="Arial" w:cs="Arial"/>
          <w:sz w:val="22"/>
          <w:szCs w:val="22"/>
        </w:rPr>
      </w:pPr>
      <w:r w:rsidRPr="00303275">
        <w:rPr>
          <w:rFonts w:ascii="Arial" w:hAnsi="Arial" w:cs="Arial"/>
          <w:sz w:val="22"/>
          <w:szCs w:val="22"/>
        </w:rPr>
        <w:t>Die Vermögensbewertung ist</w:t>
      </w:r>
      <w:r w:rsidR="00A16B1F">
        <w:rPr>
          <w:rFonts w:ascii="Arial" w:hAnsi="Arial" w:cs="Arial"/>
          <w:sz w:val="22"/>
          <w:szCs w:val="22"/>
        </w:rPr>
        <w:t xml:space="preserve"> der größte und zugleich a</w:t>
      </w:r>
      <w:r w:rsidRPr="00303275">
        <w:rPr>
          <w:rFonts w:ascii="Arial" w:hAnsi="Arial" w:cs="Arial"/>
          <w:sz w:val="22"/>
          <w:szCs w:val="22"/>
        </w:rPr>
        <w:t>ufwändig</w:t>
      </w:r>
      <w:r w:rsidR="00A16B1F">
        <w:rPr>
          <w:rFonts w:ascii="Arial" w:hAnsi="Arial" w:cs="Arial"/>
          <w:sz w:val="22"/>
          <w:szCs w:val="22"/>
        </w:rPr>
        <w:t xml:space="preserve">ste </w:t>
      </w:r>
      <w:r w:rsidRPr="00303275">
        <w:rPr>
          <w:rFonts w:ascii="Arial" w:hAnsi="Arial" w:cs="Arial"/>
          <w:sz w:val="22"/>
          <w:szCs w:val="22"/>
        </w:rPr>
        <w:t xml:space="preserve">Baustein </w:t>
      </w:r>
      <w:r>
        <w:rPr>
          <w:rFonts w:ascii="Arial" w:hAnsi="Arial" w:cs="Arial"/>
          <w:sz w:val="22"/>
          <w:szCs w:val="22"/>
        </w:rPr>
        <w:t>des n</w:t>
      </w:r>
      <w:r w:rsidRPr="00303275">
        <w:rPr>
          <w:rFonts w:ascii="Arial" w:hAnsi="Arial" w:cs="Arial"/>
          <w:sz w:val="22"/>
          <w:szCs w:val="22"/>
        </w:rPr>
        <w:t>eue</w:t>
      </w:r>
      <w:r>
        <w:rPr>
          <w:rFonts w:ascii="Arial" w:hAnsi="Arial" w:cs="Arial"/>
          <w:sz w:val="22"/>
          <w:szCs w:val="22"/>
        </w:rPr>
        <w:t>n</w:t>
      </w:r>
      <w:r w:rsidRPr="00303275">
        <w:rPr>
          <w:rFonts w:ascii="Arial" w:hAnsi="Arial" w:cs="Arial"/>
          <w:sz w:val="22"/>
          <w:szCs w:val="22"/>
        </w:rPr>
        <w:t xml:space="preserve"> Haushaltsrecht</w:t>
      </w:r>
      <w:r>
        <w:rPr>
          <w:rFonts w:ascii="Arial" w:hAnsi="Arial" w:cs="Arial"/>
          <w:sz w:val="22"/>
          <w:szCs w:val="22"/>
        </w:rPr>
        <w:t>s</w:t>
      </w:r>
      <w:r w:rsidRPr="00303275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bindet im entsprechenden Umfang </w:t>
      </w:r>
      <w:r w:rsidRPr="00303275">
        <w:rPr>
          <w:rFonts w:ascii="Arial" w:hAnsi="Arial" w:cs="Arial"/>
          <w:sz w:val="22"/>
          <w:szCs w:val="22"/>
        </w:rPr>
        <w:t>zeitliche und personelle Ressourcen</w:t>
      </w:r>
      <w:r>
        <w:rPr>
          <w:rFonts w:ascii="Arial" w:hAnsi="Arial" w:cs="Arial"/>
          <w:sz w:val="22"/>
          <w:szCs w:val="22"/>
        </w:rPr>
        <w:t xml:space="preserve">. </w:t>
      </w:r>
      <w:r w:rsidRPr="00303275">
        <w:rPr>
          <w:rFonts w:ascii="Arial" w:hAnsi="Arial" w:cs="Arial"/>
          <w:sz w:val="22"/>
          <w:szCs w:val="22"/>
        </w:rPr>
        <w:t xml:space="preserve"> </w:t>
      </w:r>
    </w:p>
    <w:p w14:paraId="3DB558D6" w14:textId="1C1CC723" w:rsidR="00EF1A48" w:rsidRDefault="00EF1A48" w:rsidP="00047D74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7A863C8" w14:textId="6CEBF71E" w:rsidR="00645363" w:rsidRPr="00645363" w:rsidRDefault="00645363" w:rsidP="00645363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Die Verwaltung schlägt vor, dieses Aufgabenpaket an einen externen Dienstleister zu vergeben, was </w:t>
      </w:r>
      <w:r w:rsidR="00A16B1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aus Gründen der Rechts- und Prüfungssicherheit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gängige Praxis in den Gemeinden und Städten in Baden-Württemberg ist. Das </w:t>
      </w:r>
      <w:r w:rsidRPr="00586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Gesamtp</w:t>
      </w:r>
      <w:r w:rsidRPr="0058659C">
        <w:rPr>
          <w:rFonts w:ascii="Arial" w:hAnsi="Arial" w:cs="Arial"/>
          <w:sz w:val="22"/>
          <w:szCs w:val="22"/>
        </w:rPr>
        <w:t xml:space="preserve">rojekt kann grob in </w:t>
      </w:r>
      <w:r>
        <w:rPr>
          <w:rFonts w:ascii="Arial" w:hAnsi="Arial" w:cs="Arial"/>
          <w:sz w:val="22"/>
          <w:szCs w:val="22"/>
        </w:rPr>
        <w:t xml:space="preserve">folgende </w:t>
      </w:r>
      <w:r w:rsidR="00A16B1F">
        <w:rPr>
          <w:rFonts w:ascii="Arial" w:hAnsi="Arial" w:cs="Arial"/>
          <w:sz w:val="22"/>
          <w:szCs w:val="22"/>
        </w:rPr>
        <w:t xml:space="preserve">Teilbereiche </w:t>
      </w:r>
      <w:r w:rsidRPr="0058659C">
        <w:rPr>
          <w:rFonts w:ascii="Arial" w:hAnsi="Arial" w:cs="Arial"/>
          <w:sz w:val="22"/>
          <w:szCs w:val="22"/>
        </w:rPr>
        <w:t>aufgeteilt werden</w:t>
      </w:r>
      <w:r>
        <w:rPr>
          <w:rFonts w:ascii="Arial" w:hAnsi="Arial" w:cs="Arial"/>
          <w:sz w:val="22"/>
          <w:szCs w:val="22"/>
        </w:rPr>
        <w:t xml:space="preserve">: </w:t>
      </w:r>
      <w:r w:rsidRPr="0058659C">
        <w:rPr>
          <w:rFonts w:ascii="Arial" w:hAnsi="Arial" w:cs="Arial"/>
          <w:sz w:val="22"/>
          <w:szCs w:val="22"/>
        </w:rPr>
        <w:t xml:space="preserve"> </w:t>
      </w:r>
    </w:p>
    <w:p w14:paraId="0208B5CB" w14:textId="77777777" w:rsidR="00645363" w:rsidRPr="0058659C" w:rsidRDefault="00645363" w:rsidP="00645363">
      <w:pPr>
        <w:pStyle w:val="Default"/>
        <w:rPr>
          <w:rFonts w:ascii="Arial" w:hAnsi="Arial" w:cs="Arial"/>
          <w:sz w:val="22"/>
          <w:szCs w:val="22"/>
        </w:rPr>
      </w:pPr>
    </w:p>
    <w:p w14:paraId="2332E0D3" w14:textId="27C5AF26" w:rsidR="00645363" w:rsidRDefault="00217749" w:rsidP="0064536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Bewertung des </w:t>
      </w:r>
      <w:r w:rsidR="00645363" w:rsidRPr="0058659C">
        <w:rPr>
          <w:rFonts w:ascii="Arial" w:hAnsi="Arial" w:cs="Arial"/>
          <w:sz w:val="22"/>
          <w:szCs w:val="22"/>
        </w:rPr>
        <w:t>bewegliche</w:t>
      </w:r>
      <w:r>
        <w:rPr>
          <w:rFonts w:ascii="Arial" w:hAnsi="Arial" w:cs="Arial"/>
          <w:sz w:val="22"/>
          <w:szCs w:val="22"/>
        </w:rPr>
        <w:t>n</w:t>
      </w:r>
      <w:r w:rsidR="00645363" w:rsidRPr="0058659C">
        <w:rPr>
          <w:rFonts w:ascii="Arial" w:hAnsi="Arial" w:cs="Arial"/>
          <w:sz w:val="22"/>
          <w:szCs w:val="22"/>
        </w:rPr>
        <w:t xml:space="preserve"> Anlagevermögen</w:t>
      </w:r>
      <w:r>
        <w:rPr>
          <w:rFonts w:ascii="Arial" w:hAnsi="Arial" w:cs="Arial"/>
          <w:sz w:val="22"/>
          <w:szCs w:val="22"/>
        </w:rPr>
        <w:t>s (</w:t>
      </w:r>
      <w:r w:rsidR="00645363" w:rsidRPr="0058659C">
        <w:rPr>
          <w:rFonts w:ascii="Arial" w:hAnsi="Arial" w:cs="Arial"/>
          <w:sz w:val="22"/>
          <w:szCs w:val="22"/>
        </w:rPr>
        <w:t>Büro- und Geschäftsausstattung, Fuhrpark, Technische Anlagen, Software</w:t>
      </w:r>
      <w:r w:rsidR="00645363">
        <w:rPr>
          <w:rFonts w:ascii="Arial" w:hAnsi="Arial" w:cs="Arial"/>
          <w:sz w:val="22"/>
          <w:szCs w:val="22"/>
        </w:rPr>
        <w:t xml:space="preserve"> und </w:t>
      </w:r>
      <w:r w:rsidR="00645363" w:rsidRPr="0058659C">
        <w:rPr>
          <w:rFonts w:ascii="Arial" w:hAnsi="Arial" w:cs="Arial"/>
          <w:sz w:val="22"/>
          <w:szCs w:val="22"/>
        </w:rPr>
        <w:t>Konzessionen</w:t>
      </w:r>
      <w:r>
        <w:rPr>
          <w:rFonts w:ascii="Arial" w:hAnsi="Arial" w:cs="Arial"/>
          <w:sz w:val="22"/>
          <w:szCs w:val="22"/>
        </w:rPr>
        <w:t xml:space="preserve"> etc.)</w:t>
      </w:r>
    </w:p>
    <w:p w14:paraId="71E7BB58" w14:textId="03D9B86E" w:rsidR="00645363" w:rsidRDefault="00217749" w:rsidP="0064536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Bewertung der Gebäude </w:t>
      </w:r>
      <w:r w:rsidR="00645363" w:rsidRPr="0058659C">
        <w:rPr>
          <w:rFonts w:ascii="Arial" w:hAnsi="Arial" w:cs="Arial"/>
          <w:sz w:val="22"/>
          <w:szCs w:val="22"/>
        </w:rPr>
        <w:t xml:space="preserve"> </w:t>
      </w:r>
    </w:p>
    <w:p w14:paraId="620B14C1" w14:textId="51CBAD8E" w:rsidR="00645363" w:rsidRDefault="00217749" w:rsidP="0064536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Bewertung von </w:t>
      </w:r>
      <w:r w:rsidR="00645363" w:rsidRPr="0058659C">
        <w:rPr>
          <w:rFonts w:ascii="Arial" w:hAnsi="Arial" w:cs="Arial"/>
          <w:sz w:val="22"/>
          <w:szCs w:val="22"/>
        </w:rPr>
        <w:t>Grund und Boden</w:t>
      </w:r>
      <w:r>
        <w:rPr>
          <w:rFonts w:ascii="Arial" w:hAnsi="Arial" w:cs="Arial"/>
          <w:sz w:val="22"/>
          <w:szCs w:val="22"/>
        </w:rPr>
        <w:t xml:space="preserve"> (z.B. </w:t>
      </w:r>
      <w:r w:rsidR="00645363" w:rsidRPr="0058659C">
        <w:rPr>
          <w:rFonts w:ascii="Arial" w:hAnsi="Arial" w:cs="Arial"/>
          <w:sz w:val="22"/>
          <w:szCs w:val="22"/>
        </w:rPr>
        <w:t xml:space="preserve">Straßengrundstücke, bebaute Grundstücke, Ackerland, grundstücksgleiche Rechte, </w:t>
      </w:r>
      <w:r w:rsidR="0077475B">
        <w:rPr>
          <w:rFonts w:ascii="Arial" w:hAnsi="Arial" w:cs="Arial"/>
          <w:sz w:val="22"/>
          <w:szCs w:val="22"/>
        </w:rPr>
        <w:t xml:space="preserve">Belastungen, </w:t>
      </w:r>
      <w:r w:rsidR="00645363">
        <w:rPr>
          <w:rFonts w:ascii="Arial" w:hAnsi="Arial" w:cs="Arial"/>
          <w:sz w:val="22"/>
          <w:szCs w:val="22"/>
        </w:rPr>
        <w:t>Waldfläche</w:t>
      </w:r>
      <w:r>
        <w:rPr>
          <w:rFonts w:ascii="Arial" w:hAnsi="Arial" w:cs="Arial"/>
          <w:sz w:val="22"/>
          <w:szCs w:val="22"/>
        </w:rPr>
        <w:t>)</w:t>
      </w:r>
    </w:p>
    <w:p w14:paraId="5E281EA2" w14:textId="1E9B7F95" w:rsidR="00645363" w:rsidRDefault="00217749" w:rsidP="0064536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Bewertung des </w:t>
      </w:r>
      <w:r w:rsidR="00645363" w:rsidRPr="0058659C">
        <w:rPr>
          <w:rFonts w:ascii="Arial" w:hAnsi="Arial" w:cs="Arial"/>
          <w:sz w:val="22"/>
          <w:szCs w:val="22"/>
        </w:rPr>
        <w:t>Infrastruktur</w:t>
      </w:r>
      <w:r w:rsidR="00645363">
        <w:rPr>
          <w:rFonts w:ascii="Arial" w:hAnsi="Arial" w:cs="Arial"/>
          <w:sz w:val="22"/>
          <w:szCs w:val="22"/>
        </w:rPr>
        <w:t>vermögen</w:t>
      </w:r>
      <w:r>
        <w:rPr>
          <w:rFonts w:ascii="Arial" w:hAnsi="Arial" w:cs="Arial"/>
          <w:sz w:val="22"/>
          <w:szCs w:val="22"/>
        </w:rPr>
        <w:t xml:space="preserve">s (v.a. </w:t>
      </w:r>
      <w:r w:rsidR="00645363" w:rsidRPr="0058659C">
        <w:rPr>
          <w:rFonts w:ascii="Arial" w:hAnsi="Arial" w:cs="Arial"/>
          <w:sz w:val="22"/>
          <w:szCs w:val="22"/>
        </w:rPr>
        <w:t>Straßen, Wege, Plätze, Brücken</w:t>
      </w:r>
      <w:r w:rsidR="00645363">
        <w:rPr>
          <w:rFonts w:ascii="Arial" w:hAnsi="Arial" w:cs="Arial"/>
          <w:sz w:val="22"/>
          <w:szCs w:val="22"/>
        </w:rPr>
        <w:t>, Treppen und Spielplätze</w:t>
      </w:r>
      <w:r>
        <w:rPr>
          <w:rFonts w:ascii="Arial" w:hAnsi="Arial" w:cs="Arial"/>
          <w:sz w:val="22"/>
          <w:szCs w:val="22"/>
        </w:rPr>
        <w:t>)</w:t>
      </w:r>
      <w:r w:rsidR="00645363">
        <w:rPr>
          <w:rFonts w:ascii="Arial" w:hAnsi="Arial" w:cs="Arial"/>
          <w:sz w:val="22"/>
          <w:szCs w:val="22"/>
        </w:rPr>
        <w:t xml:space="preserve"> </w:t>
      </w:r>
    </w:p>
    <w:p w14:paraId="442C039E" w14:textId="0D9C7CFB" w:rsidR="00645363" w:rsidRPr="0058659C" w:rsidRDefault="00217749" w:rsidP="0064536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Erstellung der Eröffnungsbilanz inkl. Richtlinien und der Bewertung der </w:t>
      </w:r>
      <w:r w:rsidR="00645363" w:rsidRPr="0058659C">
        <w:rPr>
          <w:rFonts w:ascii="Arial" w:hAnsi="Arial" w:cs="Arial"/>
          <w:sz w:val="22"/>
          <w:szCs w:val="22"/>
        </w:rPr>
        <w:t>sonstigen Vermögensgegenstände (Forderungen, Rückstellungen) und d</w:t>
      </w:r>
      <w:r>
        <w:rPr>
          <w:rFonts w:ascii="Arial" w:hAnsi="Arial" w:cs="Arial"/>
          <w:sz w:val="22"/>
          <w:szCs w:val="22"/>
        </w:rPr>
        <w:t>er</w:t>
      </w:r>
      <w:r w:rsidR="00645363" w:rsidRPr="0058659C">
        <w:rPr>
          <w:rFonts w:ascii="Arial" w:hAnsi="Arial" w:cs="Arial"/>
          <w:sz w:val="22"/>
          <w:szCs w:val="22"/>
        </w:rPr>
        <w:t xml:space="preserve"> Schulden</w:t>
      </w:r>
      <w:r w:rsidR="00645363">
        <w:rPr>
          <w:rFonts w:ascii="Arial" w:hAnsi="Arial" w:cs="Arial"/>
          <w:sz w:val="22"/>
          <w:szCs w:val="22"/>
        </w:rPr>
        <w:t>.</w:t>
      </w:r>
      <w:r w:rsidR="00645363" w:rsidRPr="0058659C">
        <w:rPr>
          <w:rFonts w:ascii="Arial" w:hAnsi="Arial" w:cs="Arial"/>
          <w:sz w:val="22"/>
          <w:szCs w:val="22"/>
        </w:rPr>
        <w:t xml:space="preserve">  </w:t>
      </w:r>
    </w:p>
    <w:p w14:paraId="1B9D0D05" w14:textId="0FCB4849" w:rsidR="00645363" w:rsidRDefault="00645363" w:rsidP="00047D74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4A0DC42" w14:textId="05544A97" w:rsidR="00217749" w:rsidRDefault="00217749" w:rsidP="00047D74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Für jeden Teilbereich wird eine Sonderinventurrichtlinie erstellt, nach </w:t>
      </w:r>
      <w:r w:rsidR="007747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einer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Aktensichtung die Bewertung durchgeführt</w:t>
      </w:r>
      <w:r w:rsidR="007747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uns anschließend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eine prüfungssichere Gesamtdokumentation </w:t>
      </w:r>
      <w:r w:rsidR="00AA1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sowie 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ine Überleitungstabelle für die Anlage</w:t>
      </w:r>
      <w:r w:rsidR="00AA1A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buchhaltung erstellt. </w:t>
      </w:r>
    </w:p>
    <w:p w14:paraId="56A0BD5D" w14:textId="77777777" w:rsidR="00217749" w:rsidRDefault="00217749" w:rsidP="00047D74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A3CA4D4" w14:textId="544FBFEE" w:rsidR="00047D74" w:rsidRDefault="00645363" w:rsidP="00047D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Der Dokumentation kommt </w:t>
      </w:r>
      <w:r w:rsidR="007747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dabei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eine entscheidende Bedeutung zu, denn d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ie Wertfindung ist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so festzuhalten, </w:t>
      </w:r>
      <w:r w:rsidR="00047D74" w:rsidRPr="00047D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dass diese im Rahmen der Prüfung jederzeit und effizient nachvollziehbar ist. </w:t>
      </w:r>
    </w:p>
    <w:p w14:paraId="3245F395" w14:textId="77777777" w:rsidR="00217749" w:rsidRDefault="00217749" w:rsidP="00012277">
      <w:pPr>
        <w:jc w:val="both"/>
        <w:rPr>
          <w:rFonts w:ascii="Arial" w:hAnsi="Arial" w:cs="Arial"/>
          <w:sz w:val="22"/>
          <w:szCs w:val="22"/>
        </w:rPr>
      </w:pPr>
    </w:p>
    <w:p w14:paraId="47C9F4CF" w14:textId="331A11B1" w:rsidR="002B6421" w:rsidRDefault="00303275" w:rsidP="00012277">
      <w:pPr>
        <w:jc w:val="both"/>
        <w:rPr>
          <w:rFonts w:ascii="Arial" w:hAnsi="Arial" w:cs="Arial"/>
          <w:sz w:val="22"/>
          <w:szCs w:val="22"/>
        </w:rPr>
      </w:pPr>
      <w:r w:rsidRPr="00303275">
        <w:rPr>
          <w:rFonts w:ascii="Arial" w:hAnsi="Arial" w:cs="Arial"/>
          <w:sz w:val="22"/>
          <w:szCs w:val="22"/>
        </w:rPr>
        <w:t xml:space="preserve">Für die Erstellung der Vermögensbewertung </w:t>
      </w:r>
      <w:r w:rsidR="00A16B1F">
        <w:rPr>
          <w:rFonts w:ascii="Arial" w:hAnsi="Arial" w:cs="Arial"/>
          <w:sz w:val="22"/>
          <w:szCs w:val="22"/>
        </w:rPr>
        <w:t xml:space="preserve">samt Eröffnungsbilanz </w:t>
      </w:r>
      <w:r w:rsidRPr="00303275">
        <w:rPr>
          <w:rFonts w:ascii="Arial" w:hAnsi="Arial" w:cs="Arial"/>
          <w:sz w:val="22"/>
          <w:szCs w:val="22"/>
        </w:rPr>
        <w:t>hat die Gemeinde</w:t>
      </w:r>
      <w:r w:rsidR="00EA1EAF">
        <w:rPr>
          <w:rFonts w:ascii="Arial" w:hAnsi="Arial" w:cs="Arial"/>
          <w:sz w:val="22"/>
          <w:szCs w:val="22"/>
        </w:rPr>
        <w:t>verwaltung v</w:t>
      </w:r>
      <w:r w:rsidR="002B6421">
        <w:rPr>
          <w:rFonts w:ascii="Arial" w:hAnsi="Arial" w:cs="Arial"/>
          <w:sz w:val="22"/>
          <w:szCs w:val="22"/>
        </w:rPr>
        <w:t xml:space="preserve">ier </w:t>
      </w:r>
      <w:r w:rsidRPr="00303275">
        <w:rPr>
          <w:rFonts w:ascii="Arial" w:hAnsi="Arial" w:cs="Arial"/>
          <w:sz w:val="22"/>
          <w:szCs w:val="22"/>
        </w:rPr>
        <w:t xml:space="preserve">Dienstleister </w:t>
      </w:r>
      <w:r w:rsidR="00EA1EAF">
        <w:rPr>
          <w:rFonts w:ascii="Arial" w:hAnsi="Arial" w:cs="Arial"/>
          <w:sz w:val="22"/>
          <w:szCs w:val="22"/>
        </w:rPr>
        <w:t>zur Angebotsabgabe aufgefordert</w:t>
      </w:r>
      <w:r w:rsidRPr="00303275">
        <w:rPr>
          <w:rFonts w:ascii="Arial" w:hAnsi="Arial" w:cs="Arial"/>
          <w:sz w:val="22"/>
          <w:szCs w:val="22"/>
        </w:rPr>
        <w:t xml:space="preserve">. </w:t>
      </w:r>
      <w:r w:rsidR="00EA1EAF">
        <w:rPr>
          <w:rFonts w:ascii="Arial" w:hAnsi="Arial" w:cs="Arial"/>
          <w:sz w:val="22"/>
          <w:szCs w:val="22"/>
        </w:rPr>
        <w:t xml:space="preserve">Es wurden </w:t>
      </w:r>
      <w:r w:rsidRPr="00303275">
        <w:rPr>
          <w:rFonts w:ascii="Arial" w:hAnsi="Arial" w:cs="Arial"/>
          <w:sz w:val="22"/>
          <w:szCs w:val="22"/>
        </w:rPr>
        <w:t xml:space="preserve">folgende </w:t>
      </w:r>
      <w:r w:rsidR="00EA1EAF">
        <w:rPr>
          <w:rFonts w:ascii="Arial" w:hAnsi="Arial" w:cs="Arial"/>
          <w:sz w:val="22"/>
          <w:szCs w:val="22"/>
        </w:rPr>
        <w:t xml:space="preserve">wertbare </w:t>
      </w:r>
      <w:r w:rsidRPr="00303275">
        <w:rPr>
          <w:rFonts w:ascii="Arial" w:hAnsi="Arial" w:cs="Arial"/>
          <w:sz w:val="22"/>
          <w:szCs w:val="22"/>
        </w:rPr>
        <w:t xml:space="preserve">Angebote </w:t>
      </w:r>
      <w:r w:rsidR="002B6421">
        <w:rPr>
          <w:rFonts w:ascii="Arial" w:hAnsi="Arial" w:cs="Arial"/>
          <w:sz w:val="22"/>
          <w:szCs w:val="22"/>
        </w:rPr>
        <w:t xml:space="preserve">(brutto) </w:t>
      </w:r>
      <w:r w:rsidRPr="00303275">
        <w:rPr>
          <w:rFonts w:ascii="Arial" w:hAnsi="Arial" w:cs="Arial"/>
          <w:sz w:val="22"/>
          <w:szCs w:val="22"/>
        </w:rPr>
        <w:t xml:space="preserve">abgegeben: </w:t>
      </w:r>
    </w:p>
    <w:p w14:paraId="02146E0E" w14:textId="77777777" w:rsidR="002B6421" w:rsidRDefault="002B6421" w:rsidP="00012277">
      <w:pPr>
        <w:jc w:val="both"/>
        <w:rPr>
          <w:rFonts w:ascii="Arial" w:hAnsi="Arial" w:cs="Arial"/>
          <w:sz w:val="22"/>
          <w:szCs w:val="22"/>
        </w:rPr>
      </w:pPr>
    </w:p>
    <w:p w14:paraId="6C1633F5" w14:textId="12227AC7" w:rsidR="002B6421" w:rsidRDefault="002B6421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Fa. Rödl &amp; Partner, Nürnberg/Stuttgart:</w:t>
      </w:r>
      <w:r>
        <w:rPr>
          <w:rFonts w:ascii="Arial" w:hAnsi="Arial" w:cs="Arial"/>
          <w:sz w:val="22"/>
          <w:szCs w:val="22"/>
        </w:rPr>
        <w:tab/>
      </w:r>
      <w:r w:rsidR="008C1507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.</w:t>
      </w:r>
      <w:r w:rsidR="008C1507">
        <w:rPr>
          <w:rFonts w:ascii="Arial" w:hAnsi="Arial" w:cs="Arial"/>
          <w:sz w:val="22"/>
          <w:szCs w:val="22"/>
        </w:rPr>
        <w:t>700</w:t>
      </w:r>
      <w:r>
        <w:rPr>
          <w:rFonts w:ascii="Arial" w:hAnsi="Arial" w:cs="Arial"/>
          <w:sz w:val="22"/>
          <w:szCs w:val="22"/>
        </w:rPr>
        <w:t xml:space="preserve">,00 €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Bieterin 2:</w:t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  <w:t>49.694,00 €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92522A" w14:textId="4ED4A1B0" w:rsidR="002B6421" w:rsidRDefault="002B6421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3: </w:t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</w:r>
      <w:r w:rsidR="00EA1EAF">
        <w:rPr>
          <w:rFonts w:ascii="Arial" w:hAnsi="Arial" w:cs="Arial"/>
          <w:sz w:val="22"/>
          <w:szCs w:val="22"/>
        </w:rPr>
        <w:tab/>
        <w:t xml:space="preserve">58.298,00 € </w:t>
      </w:r>
    </w:p>
    <w:p w14:paraId="3A99C3D1" w14:textId="45CA9AE0" w:rsidR="002B6421" w:rsidRDefault="002B6421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A9A2BA8" w14:textId="06B59566" w:rsidR="00EA1EAF" w:rsidRDefault="00EA1EAF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Steuerberatungs- und Wirtschaftsprüfungsgesellschaft Rödl </w:t>
      </w:r>
      <w:r w:rsidR="00AA1A26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 xml:space="preserve">Partner hat ein Festpreisangebot abgegeben, das neben einer Kostensicherheit auch eine Prüfungssicherheit garantiert. Sollten Nacharbeiten nach der Prüfung der Eröffnungsbilanz vorgenommen werden, sind diese vom Büro kostenfrei zu erbringen. </w:t>
      </w:r>
    </w:p>
    <w:p w14:paraId="2B99A43A" w14:textId="403E1432" w:rsidR="00EA1EAF" w:rsidRDefault="00EA1EAF" w:rsidP="00012277">
      <w:pPr>
        <w:jc w:val="both"/>
        <w:rPr>
          <w:rFonts w:ascii="Arial" w:hAnsi="Arial" w:cs="Arial"/>
          <w:sz w:val="22"/>
          <w:szCs w:val="22"/>
        </w:rPr>
      </w:pPr>
    </w:p>
    <w:p w14:paraId="289994D0" w14:textId="26149F1E" w:rsidR="00EA1EAF" w:rsidRDefault="00EA1EAF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Rödl </w:t>
      </w:r>
      <w:r w:rsidR="00AA1A26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 xml:space="preserve">Partner ist eine </w:t>
      </w:r>
      <w:r w:rsidR="003C3D5B">
        <w:rPr>
          <w:rFonts w:ascii="Arial" w:hAnsi="Arial" w:cs="Arial"/>
          <w:sz w:val="22"/>
          <w:szCs w:val="22"/>
        </w:rPr>
        <w:t xml:space="preserve">renommierte Wirtschaftsprüfungskanzlei und verfügt über eine Vielzahl an erfolgreichen Referenzen in diesem Bereich in Baden-Württemberg. Im Bodenseekreis laufen derzeit mehrere Projekte. Die Erfahrungen der Kollegen sind durchweg positiv.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F41128" w14:textId="77777777" w:rsidR="00EA1EAF" w:rsidRDefault="00EA1EAF" w:rsidP="00012277">
      <w:pPr>
        <w:jc w:val="both"/>
        <w:rPr>
          <w:rFonts w:ascii="Arial" w:hAnsi="Arial" w:cs="Arial"/>
          <w:sz w:val="22"/>
          <w:szCs w:val="22"/>
        </w:rPr>
      </w:pPr>
    </w:p>
    <w:p w14:paraId="4B032837" w14:textId="6FB9AEBA" w:rsidR="00EA1EAF" w:rsidRDefault="00EA1EAF" w:rsidP="00EA1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Bieterinnen 2 und 3 haben keinen Festpreis, sondern eine Abrechnung nach tatsächlichem Aufwand </w:t>
      </w:r>
      <w:r w:rsidR="00DC4785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Stunden- bzw. Tagessätzen angeboten. Zur Vergleichbarkeit der Angebote wurde d</w:t>
      </w:r>
      <w:r w:rsidR="00DC4785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prognostizierte Bearbeitungszeit mit </w:t>
      </w:r>
      <w:r w:rsidR="00DC4785">
        <w:rPr>
          <w:rFonts w:ascii="Arial" w:hAnsi="Arial" w:cs="Arial"/>
          <w:sz w:val="22"/>
          <w:szCs w:val="22"/>
        </w:rPr>
        <w:t xml:space="preserve">den angebotenen </w:t>
      </w:r>
      <w:r>
        <w:rPr>
          <w:rFonts w:ascii="Arial" w:hAnsi="Arial" w:cs="Arial"/>
          <w:sz w:val="22"/>
          <w:szCs w:val="22"/>
        </w:rPr>
        <w:t xml:space="preserve">Vergütungssätzen hochgerechnet. Beide Anbieterinnen können daher </w:t>
      </w:r>
      <w:r w:rsidR="00A16B1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eine Kostensicherheit </w:t>
      </w:r>
      <w:r w:rsidR="00A16B1F">
        <w:rPr>
          <w:rFonts w:ascii="Arial" w:hAnsi="Arial" w:cs="Arial"/>
          <w:sz w:val="22"/>
          <w:szCs w:val="22"/>
        </w:rPr>
        <w:t xml:space="preserve">garantieren, darüber hinaus auch </w:t>
      </w:r>
      <w:r>
        <w:rPr>
          <w:rFonts w:ascii="Arial" w:hAnsi="Arial" w:cs="Arial"/>
          <w:sz w:val="22"/>
          <w:szCs w:val="22"/>
        </w:rPr>
        <w:t xml:space="preserve"> </w:t>
      </w:r>
      <w:r w:rsidR="00A16B1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eine Prüfungssicherheit und kostenfreie Nacharbeit.   </w:t>
      </w:r>
    </w:p>
    <w:p w14:paraId="146B5AD8" w14:textId="271CE774" w:rsidR="002B6421" w:rsidRDefault="002B6421" w:rsidP="00012277">
      <w:pPr>
        <w:jc w:val="both"/>
        <w:rPr>
          <w:rFonts w:ascii="Arial" w:hAnsi="Arial" w:cs="Arial"/>
          <w:sz w:val="22"/>
          <w:szCs w:val="22"/>
        </w:rPr>
      </w:pPr>
    </w:p>
    <w:p w14:paraId="1AE80F4E" w14:textId="3F3CE56D" w:rsidR="00DC4785" w:rsidRDefault="00DC4785" w:rsidP="00012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Projektdauer wird mit 3-4 Monaten angegeben, sodass voraussichtlich im Frühjahr 2022 die Eröffnungsbilanz dem Gemeinderat zu Beschlussfassung vorgelegt werden kann. </w:t>
      </w:r>
    </w:p>
    <w:p w14:paraId="5737745C" w14:textId="77777777" w:rsidR="00645363" w:rsidRDefault="00645363" w:rsidP="00012277">
      <w:pPr>
        <w:jc w:val="both"/>
        <w:rPr>
          <w:rFonts w:ascii="Arial" w:hAnsi="Arial" w:cs="Arial"/>
          <w:sz w:val="22"/>
          <w:szCs w:val="22"/>
        </w:rPr>
      </w:pPr>
    </w:p>
    <w:p w14:paraId="2D918451" w14:textId="77777777" w:rsidR="00645363" w:rsidRDefault="00645363" w:rsidP="00012277">
      <w:pPr>
        <w:jc w:val="both"/>
        <w:rPr>
          <w:rFonts w:ascii="Arial" w:hAnsi="Arial" w:cs="Arial"/>
          <w:sz w:val="22"/>
          <w:szCs w:val="22"/>
        </w:rPr>
      </w:pPr>
    </w:p>
    <w:p w14:paraId="1AEE3B6E" w14:textId="77777777" w:rsidR="00012277" w:rsidRPr="00812368" w:rsidRDefault="00012277" w:rsidP="000122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14E08713" w14:textId="33E2014F" w:rsidR="00303275" w:rsidRDefault="001E5F04" w:rsidP="001E5F04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303275">
        <w:rPr>
          <w:rFonts w:ascii="Arial" w:hAnsi="Arial"/>
          <w:sz w:val="22"/>
          <w:szCs w:val="22"/>
        </w:rPr>
        <w:t>beschließen, die Vermögensbewertung und Erstellung der Eröffnungsbilanz an die günstigste Bieterin, die Fa. Rödl</w:t>
      </w:r>
      <w:r w:rsidR="00AA1A26">
        <w:rPr>
          <w:rFonts w:ascii="Arial" w:hAnsi="Arial"/>
          <w:sz w:val="22"/>
          <w:szCs w:val="22"/>
        </w:rPr>
        <w:t xml:space="preserve">&amp; </w:t>
      </w:r>
      <w:r w:rsidR="00303275">
        <w:rPr>
          <w:rFonts w:ascii="Arial" w:hAnsi="Arial"/>
          <w:sz w:val="22"/>
          <w:szCs w:val="22"/>
        </w:rPr>
        <w:t xml:space="preserve">Partner, Nürnberg/Stuttgart, zum Angebotspreis von </w:t>
      </w:r>
      <w:r w:rsidR="008C1507">
        <w:rPr>
          <w:rFonts w:ascii="Arial" w:hAnsi="Arial"/>
          <w:sz w:val="22"/>
          <w:szCs w:val="22"/>
        </w:rPr>
        <w:t>35.700</w:t>
      </w:r>
      <w:r w:rsidR="00303275">
        <w:rPr>
          <w:rFonts w:ascii="Arial" w:hAnsi="Arial"/>
          <w:sz w:val="22"/>
          <w:szCs w:val="22"/>
        </w:rPr>
        <w:t xml:space="preserve">,00 € brutto zu vergeben. </w:t>
      </w:r>
    </w:p>
    <w:p w14:paraId="0ADCBB09" w14:textId="04AAAD69" w:rsidR="001E5F04" w:rsidRDefault="001E5F04" w:rsidP="001E5F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sectPr w:rsidR="001E5F04" w:rsidSect="00256EFD">
      <w:pgSz w:w="11906" w:h="16838"/>
      <w:pgMar w:top="141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09A" w14:textId="77777777" w:rsidR="00D46230" w:rsidRDefault="00D46230" w:rsidP="00B478C3">
      <w:r>
        <w:separator/>
      </w:r>
    </w:p>
  </w:endnote>
  <w:endnote w:type="continuationSeparator" w:id="0">
    <w:p w14:paraId="603B2285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DH Scuba 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6E3" w14:textId="77777777" w:rsidR="00D46230" w:rsidRDefault="00D46230" w:rsidP="00B478C3">
      <w:r>
        <w:separator/>
      </w:r>
    </w:p>
  </w:footnote>
  <w:footnote w:type="continuationSeparator" w:id="0">
    <w:p w14:paraId="5F5F9DE6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 w15:restartNumberingAfterBreak="0">
    <w:nsid w:val="7E5317B8"/>
    <w:multiLevelType w:val="hybridMultilevel"/>
    <w:tmpl w:val="FCB8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6D6"/>
    <w:rsid w:val="00012277"/>
    <w:rsid w:val="00035AE4"/>
    <w:rsid w:val="00047D74"/>
    <w:rsid w:val="00053B49"/>
    <w:rsid w:val="00062B96"/>
    <w:rsid w:val="00066A73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462B2"/>
    <w:rsid w:val="0015480F"/>
    <w:rsid w:val="001752B6"/>
    <w:rsid w:val="00195F4B"/>
    <w:rsid w:val="001A6BBE"/>
    <w:rsid w:val="001D015F"/>
    <w:rsid w:val="001D188D"/>
    <w:rsid w:val="001D1E38"/>
    <w:rsid w:val="001D6F44"/>
    <w:rsid w:val="001D7BF4"/>
    <w:rsid w:val="001E5F04"/>
    <w:rsid w:val="001F094B"/>
    <w:rsid w:val="001F531A"/>
    <w:rsid w:val="002047D1"/>
    <w:rsid w:val="00217749"/>
    <w:rsid w:val="0022149F"/>
    <w:rsid w:val="00225923"/>
    <w:rsid w:val="002305D6"/>
    <w:rsid w:val="0023733D"/>
    <w:rsid w:val="00243CC6"/>
    <w:rsid w:val="00255F0C"/>
    <w:rsid w:val="00256EFD"/>
    <w:rsid w:val="0025757C"/>
    <w:rsid w:val="00264DB0"/>
    <w:rsid w:val="00281869"/>
    <w:rsid w:val="0028424F"/>
    <w:rsid w:val="002A4CA0"/>
    <w:rsid w:val="002B1875"/>
    <w:rsid w:val="002B6421"/>
    <w:rsid w:val="002C7E30"/>
    <w:rsid w:val="00303275"/>
    <w:rsid w:val="003109BF"/>
    <w:rsid w:val="00311CA1"/>
    <w:rsid w:val="00312740"/>
    <w:rsid w:val="003175FE"/>
    <w:rsid w:val="00336610"/>
    <w:rsid w:val="00340294"/>
    <w:rsid w:val="00367452"/>
    <w:rsid w:val="00374B08"/>
    <w:rsid w:val="003757EA"/>
    <w:rsid w:val="003965E3"/>
    <w:rsid w:val="003A67A3"/>
    <w:rsid w:val="003B2A31"/>
    <w:rsid w:val="003B74E3"/>
    <w:rsid w:val="003C3D5B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BAB"/>
    <w:rsid w:val="00541B89"/>
    <w:rsid w:val="00544A24"/>
    <w:rsid w:val="00546691"/>
    <w:rsid w:val="0055491E"/>
    <w:rsid w:val="0055665D"/>
    <w:rsid w:val="00563908"/>
    <w:rsid w:val="00565F72"/>
    <w:rsid w:val="00574928"/>
    <w:rsid w:val="0058659C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07C9D"/>
    <w:rsid w:val="00607EBE"/>
    <w:rsid w:val="006127EB"/>
    <w:rsid w:val="00621EAC"/>
    <w:rsid w:val="006228E5"/>
    <w:rsid w:val="006231AC"/>
    <w:rsid w:val="00625889"/>
    <w:rsid w:val="00632A5A"/>
    <w:rsid w:val="00633E87"/>
    <w:rsid w:val="00645363"/>
    <w:rsid w:val="0064732C"/>
    <w:rsid w:val="00651772"/>
    <w:rsid w:val="006564BC"/>
    <w:rsid w:val="0066147C"/>
    <w:rsid w:val="006825DC"/>
    <w:rsid w:val="00687449"/>
    <w:rsid w:val="006A1B1E"/>
    <w:rsid w:val="006B3111"/>
    <w:rsid w:val="006D0097"/>
    <w:rsid w:val="006D1460"/>
    <w:rsid w:val="006D73F3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7475B"/>
    <w:rsid w:val="00781FB5"/>
    <w:rsid w:val="00785BC5"/>
    <w:rsid w:val="007A2E83"/>
    <w:rsid w:val="007A6EA1"/>
    <w:rsid w:val="007C0214"/>
    <w:rsid w:val="007C0752"/>
    <w:rsid w:val="007D44C9"/>
    <w:rsid w:val="007D5B59"/>
    <w:rsid w:val="007D6795"/>
    <w:rsid w:val="007E05FC"/>
    <w:rsid w:val="007E58E4"/>
    <w:rsid w:val="007E58FA"/>
    <w:rsid w:val="007F5BD8"/>
    <w:rsid w:val="007F6D54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B5DAC"/>
    <w:rsid w:val="008C1507"/>
    <w:rsid w:val="008C2DAF"/>
    <w:rsid w:val="008C3D70"/>
    <w:rsid w:val="008D32A3"/>
    <w:rsid w:val="008D65E5"/>
    <w:rsid w:val="008E0C56"/>
    <w:rsid w:val="008F0AAF"/>
    <w:rsid w:val="008F7D85"/>
    <w:rsid w:val="0090741E"/>
    <w:rsid w:val="00907742"/>
    <w:rsid w:val="00925D9B"/>
    <w:rsid w:val="009308CA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E72C2"/>
    <w:rsid w:val="009F08C8"/>
    <w:rsid w:val="009F58C1"/>
    <w:rsid w:val="00A02591"/>
    <w:rsid w:val="00A05D76"/>
    <w:rsid w:val="00A07980"/>
    <w:rsid w:val="00A16B1F"/>
    <w:rsid w:val="00A22A84"/>
    <w:rsid w:val="00A30709"/>
    <w:rsid w:val="00A33039"/>
    <w:rsid w:val="00A404F9"/>
    <w:rsid w:val="00A42592"/>
    <w:rsid w:val="00A42765"/>
    <w:rsid w:val="00A44646"/>
    <w:rsid w:val="00A64C41"/>
    <w:rsid w:val="00A725C4"/>
    <w:rsid w:val="00A83A07"/>
    <w:rsid w:val="00A840EE"/>
    <w:rsid w:val="00A8628D"/>
    <w:rsid w:val="00A91D04"/>
    <w:rsid w:val="00A97A73"/>
    <w:rsid w:val="00AA1A26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6671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0D08"/>
    <w:rsid w:val="00CC1733"/>
    <w:rsid w:val="00CC4BE3"/>
    <w:rsid w:val="00CD25D5"/>
    <w:rsid w:val="00CE2C23"/>
    <w:rsid w:val="00CE2C73"/>
    <w:rsid w:val="00CF0EB4"/>
    <w:rsid w:val="00CF3C9E"/>
    <w:rsid w:val="00D05197"/>
    <w:rsid w:val="00D1016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4785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DF3DF8"/>
    <w:rsid w:val="00E13654"/>
    <w:rsid w:val="00E17FDC"/>
    <w:rsid w:val="00E36860"/>
    <w:rsid w:val="00E36F24"/>
    <w:rsid w:val="00E40E9C"/>
    <w:rsid w:val="00E53F38"/>
    <w:rsid w:val="00E73F54"/>
    <w:rsid w:val="00E86367"/>
    <w:rsid w:val="00E87FFD"/>
    <w:rsid w:val="00E96F8E"/>
    <w:rsid w:val="00EA1EAF"/>
    <w:rsid w:val="00EA44E2"/>
    <w:rsid w:val="00EA729D"/>
    <w:rsid w:val="00EC071A"/>
    <w:rsid w:val="00EC28EF"/>
    <w:rsid w:val="00EC5EAC"/>
    <w:rsid w:val="00ED5F88"/>
    <w:rsid w:val="00EF1A48"/>
    <w:rsid w:val="00F1195E"/>
    <w:rsid w:val="00F1223A"/>
    <w:rsid w:val="00F24940"/>
    <w:rsid w:val="00F255C7"/>
    <w:rsid w:val="00F42D71"/>
    <w:rsid w:val="00F436D7"/>
    <w:rsid w:val="00F45A47"/>
    <w:rsid w:val="00F50D56"/>
    <w:rsid w:val="00F64D55"/>
    <w:rsid w:val="00F65483"/>
    <w:rsid w:val="00F75BAF"/>
    <w:rsid w:val="00F81391"/>
    <w:rsid w:val="00F9740B"/>
    <w:rsid w:val="00FA1511"/>
    <w:rsid w:val="00FA431F"/>
    <w:rsid w:val="00FA65F6"/>
    <w:rsid w:val="00FB0883"/>
    <w:rsid w:val="00FB1B91"/>
    <w:rsid w:val="00FC411B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61F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Default">
    <w:name w:val="Default"/>
    <w:rsid w:val="0058659C"/>
    <w:pPr>
      <w:autoSpaceDE w:val="0"/>
      <w:autoSpaceDN w:val="0"/>
      <w:adjustRightInd w:val="0"/>
      <w:spacing w:after="0" w:line="240" w:lineRule="auto"/>
    </w:pPr>
    <w:rPr>
      <w:rFonts w:ascii="HDH Scuba OPro" w:hAnsi="HDH Scuba OPro" w:cs="HDH Scuba O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DA2-5D0A-441A-888C-E76E9BE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- Gemeinde Frickingen</cp:lastModifiedBy>
  <cp:revision>16</cp:revision>
  <cp:lastPrinted>2021-09-24T14:41:00Z</cp:lastPrinted>
  <dcterms:created xsi:type="dcterms:W3CDTF">2021-09-21T10:42:00Z</dcterms:created>
  <dcterms:modified xsi:type="dcterms:W3CDTF">2021-09-24T14:46:00Z</dcterms:modified>
</cp:coreProperties>
</file>