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B39" w:rsidRPr="00DC091B" w:rsidRDefault="00DB0B39" w:rsidP="00DB0B39">
      <w:pPr>
        <w:jc w:val="both"/>
        <w:rPr>
          <w:rFonts w:cs="Arial"/>
          <w:b/>
          <w:bCs/>
          <w:szCs w:val="22"/>
        </w:rPr>
      </w:pPr>
      <w:r w:rsidRPr="00DC091B">
        <w:rPr>
          <w:rFonts w:cs="Arial"/>
          <w:b/>
          <w:bCs/>
          <w:szCs w:val="22"/>
        </w:rPr>
        <w:t xml:space="preserve">Tagesordnungspunkt </w:t>
      </w:r>
      <w:r w:rsidR="00F71CF9">
        <w:rPr>
          <w:rFonts w:cs="Arial"/>
          <w:b/>
          <w:bCs/>
          <w:szCs w:val="22"/>
        </w:rPr>
        <w:t>4</w:t>
      </w:r>
      <w:r w:rsidRPr="00DC091B">
        <w:rPr>
          <w:rFonts w:cs="Arial"/>
          <w:b/>
          <w:bCs/>
          <w:szCs w:val="22"/>
        </w:rPr>
        <w:t xml:space="preserve">: </w:t>
      </w:r>
    </w:p>
    <w:p w:rsidR="00DB0B39" w:rsidRPr="00DC091B" w:rsidRDefault="00DB0B39" w:rsidP="00DB0B39">
      <w:pPr>
        <w:jc w:val="both"/>
        <w:rPr>
          <w:rFonts w:cs="Arial"/>
          <w:bCs/>
          <w:szCs w:val="22"/>
        </w:rPr>
      </w:pPr>
      <w:r w:rsidRPr="00DC091B">
        <w:rPr>
          <w:rFonts w:cs="Arial"/>
          <w:b/>
          <w:szCs w:val="22"/>
        </w:rPr>
        <w:t xml:space="preserve">Änderung der Satzung über den Anschluss an die öffentliche Wasserversorgungs-anlage und die Versorgung der Grundstücke mit Wasser (Wasserversorgungssatzung-WVS) </w:t>
      </w:r>
    </w:p>
    <w:p w:rsidR="00DB0B39" w:rsidRDefault="00DB0B39" w:rsidP="00DB0B39">
      <w:pPr>
        <w:ind w:firstLine="708"/>
        <w:jc w:val="both"/>
        <w:rPr>
          <w:rFonts w:cs="Arial"/>
          <w:b/>
          <w:szCs w:val="22"/>
        </w:rPr>
      </w:pPr>
      <w:r>
        <w:rPr>
          <w:rFonts w:cs="Arial"/>
          <w:b/>
          <w:szCs w:val="22"/>
        </w:rPr>
        <w:t xml:space="preserve">- </w:t>
      </w:r>
      <w:r w:rsidRPr="001F6092">
        <w:rPr>
          <w:rFonts w:cs="Arial"/>
          <w:b/>
          <w:szCs w:val="22"/>
        </w:rPr>
        <w:t>Gebührenkalkulation 201</w:t>
      </w:r>
      <w:r w:rsidR="00011F23">
        <w:rPr>
          <w:rFonts w:cs="Arial"/>
          <w:b/>
          <w:szCs w:val="22"/>
        </w:rPr>
        <w:t>9</w:t>
      </w:r>
    </w:p>
    <w:p w:rsidR="0057552A" w:rsidRPr="001F6092" w:rsidRDefault="0057552A" w:rsidP="00DB0B39">
      <w:pPr>
        <w:ind w:firstLine="708"/>
        <w:jc w:val="both"/>
        <w:rPr>
          <w:rFonts w:cs="Arial"/>
          <w:b/>
          <w:szCs w:val="22"/>
        </w:rPr>
      </w:pPr>
      <w:r>
        <w:rPr>
          <w:rFonts w:cs="Arial"/>
          <w:b/>
          <w:szCs w:val="22"/>
        </w:rPr>
        <w:t>- Beratung und Beschlussfassung</w:t>
      </w:r>
    </w:p>
    <w:p w:rsidR="00D72BA7" w:rsidRDefault="00D72BA7" w:rsidP="00DB0B39">
      <w:pPr>
        <w:jc w:val="both"/>
        <w:rPr>
          <w:rFonts w:cs="Arial"/>
          <w:szCs w:val="22"/>
        </w:rPr>
      </w:pPr>
    </w:p>
    <w:p w:rsidR="00DB0B39" w:rsidRPr="00DC091B" w:rsidRDefault="00DB0B39" w:rsidP="00DB0B39">
      <w:pPr>
        <w:jc w:val="both"/>
        <w:rPr>
          <w:rFonts w:cs="Arial"/>
          <w:szCs w:val="22"/>
        </w:rPr>
      </w:pPr>
    </w:p>
    <w:p w:rsidR="00DB0B39" w:rsidRPr="00DC091B" w:rsidRDefault="00DB0B39" w:rsidP="00DB0B39">
      <w:pPr>
        <w:jc w:val="both"/>
        <w:rPr>
          <w:rFonts w:cs="Arial"/>
          <w:szCs w:val="22"/>
          <w:u w:val="single"/>
        </w:rPr>
      </w:pPr>
      <w:r>
        <w:rPr>
          <w:rFonts w:cs="Arial"/>
          <w:szCs w:val="22"/>
          <w:u w:val="single"/>
        </w:rPr>
        <w:t>I</w:t>
      </w:r>
      <w:r w:rsidRPr="00DC091B">
        <w:rPr>
          <w:rFonts w:cs="Arial"/>
          <w:szCs w:val="22"/>
          <w:u w:val="single"/>
        </w:rPr>
        <w:t>. Sachvortrag</w:t>
      </w:r>
    </w:p>
    <w:p w:rsidR="00DB0B39" w:rsidRPr="00DC091B" w:rsidRDefault="00DB0B39" w:rsidP="00DB0B39">
      <w:pPr>
        <w:jc w:val="both"/>
        <w:rPr>
          <w:rFonts w:cs="Arial"/>
          <w:szCs w:val="22"/>
        </w:rPr>
      </w:pPr>
      <w:r w:rsidRPr="00DC091B">
        <w:rPr>
          <w:rFonts w:cs="Arial"/>
          <w:szCs w:val="22"/>
        </w:rPr>
        <w:t xml:space="preserve">Die Gemeinde betreibt die Wasserversorgung als eine öffentliche Einrichtung zur Lieferung von Trinkwasser. </w:t>
      </w:r>
    </w:p>
    <w:p w:rsidR="00DB0B39" w:rsidRPr="00DC091B" w:rsidRDefault="00DB0B39" w:rsidP="00DB0B39">
      <w:pPr>
        <w:jc w:val="both"/>
        <w:rPr>
          <w:rFonts w:cs="Arial"/>
          <w:szCs w:val="22"/>
        </w:rPr>
      </w:pPr>
      <w:r w:rsidRPr="00DC091B">
        <w:rPr>
          <w:rFonts w:cs="Arial"/>
          <w:szCs w:val="22"/>
        </w:rPr>
        <w:t>Nach §§ 102 ff Gemeindeordnung können sich die Gemeinden unter bestimmten Voraussetzungen wirtschaftlich betätigen. Als wirtschaftliche Unternehmen sind vor allem solche Einrichtungen anzusehen, die grundsätzlich auch von einem Privatunternehmen mit der Absicht der Gewinnerzielung betrieben werden könnten. Die Aufgabe Wasserversorgung stellt den klassischen Bereich der wirtschaftlichen Betätigung von Gemeinden dar (Versorgungswirtschaft).</w:t>
      </w:r>
    </w:p>
    <w:p w:rsidR="00DB0B39" w:rsidRPr="00DC091B" w:rsidRDefault="00DB0B39" w:rsidP="00DB0B39">
      <w:pPr>
        <w:jc w:val="both"/>
        <w:rPr>
          <w:rFonts w:cs="Arial"/>
          <w:szCs w:val="22"/>
        </w:rPr>
      </w:pPr>
      <w:r w:rsidRPr="00DC091B">
        <w:rPr>
          <w:rFonts w:cs="Arial"/>
          <w:szCs w:val="22"/>
        </w:rPr>
        <w:t xml:space="preserve">So ist auch die </w:t>
      </w:r>
      <w:r w:rsidR="000A5577">
        <w:rPr>
          <w:rFonts w:cs="Arial"/>
          <w:szCs w:val="22"/>
        </w:rPr>
        <w:t>gemeindliche Wasserversorgung im Eigenbetrieb „Gemeindewerke</w:t>
      </w:r>
      <w:r w:rsidRPr="00DC091B">
        <w:rPr>
          <w:rFonts w:cs="Arial"/>
          <w:szCs w:val="22"/>
        </w:rPr>
        <w:t xml:space="preserve"> Frickingen</w:t>
      </w:r>
      <w:r w:rsidR="000A5577">
        <w:rPr>
          <w:rFonts w:cs="Arial"/>
          <w:szCs w:val="22"/>
        </w:rPr>
        <w:t>“</w:t>
      </w:r>
      <w:r w:rsidRPr="00DC091B">
        <w:rPr>
          <w:rFonts w:cs="Arial"/>
          <w:szCs w:val="22"/>
        </w:rPr>
        <w:t xml:space="preserve"> organisiert. </w:t>
      </w:r>
    </w:p>
    <w:p w:rsidR="00DB0B39" w:rsidRPr="00DC091B" w:rsidRDefault="00DB0B39" w:rsidP="00DB0B39">
      <w:pPr>
        <w:jc w:val="both"/>
        <w:rPr>
          <w:rFonts w:cs="Arial"/>
          <w:szCs w:val="22"/>
        </w:rPr>
      </w:pPr>
    </w:p>
    <w:p w:rsidR="00DB0B39" w:rsidRPr="00DC091B" w:rsidRDefault="00DB0B39" w:rsidP="00DB0B39">
      <w:pPr>
        <w:jc w:val="both"/>
        <w:rPr>
          <w:rFonts w:cs="Arial"/>
          <w:szCs w:val="22"/>
        </w:rPr>
      </w:pPr>
      <w:r w:rsidRPr="00DC091B">
        <w:rPr>
          <w:rFonts w:cs="Arial"/>
          <w:szCs w:val="22"/>
        </w:rPr>
        <w:t>Zur Deckung des Aufwandes erhebt die Gemeinde dabei eine Verbrauchsgebühr.</w:t>
      </w:r>
    </w:p>
    <w:p w:rsidR="00DB0B39" w:rsidRPr="00DC091B" w:rsidRDefault="00DB0B39" w:rsidP="00DB0B39">
      <w:pPr>
        <w:jc w:val="both"/>
        <w:rPr>
          <w:rFonts w:cs="Arial"/>
          <w:szCs w:val="22"/>
        </w:rPr>
      </w:pPr>
    </w:p>
    <w:p w:rsidR="00DB0B39" w:rsidRPr="00DC091B" w:rsidRDefault="00DB0B39" w:rsidP="00DB0B39">
      <w:pPr>
        <w:jc w:val="both"/>
        <w:rPr>
          <w:rFonts w:cs="Arial"/>
          <w:szCs w:val="22"/>
        </w:rPr>
      </w:pPr>
      <w:r w:rsidRPr="00DC091B">
        <w:rPr>
          <w:rFonts w:cs="Arial"/>
          <w:szCs w:val="22"/>
        </w:rPr>
        <w:t>Die Vorschriften des Kommunalabgabengesetzes verpflichten die Gemeinden dabei, die Gebühren ihrer öffentlichen Einrichtungen so zu bemessen, dass dabei die nach betriebswirtschaftlichen Grundsätzen ansatzfähigen Kosten  (Gesamtkosten) der Einrichtung gedeckt werden.</w:t>
      </w:r>
    </w:p>
    <w:p w:rsidR="00DB0B39" w:rsidRPr="00DC091B" w:rsidRDefault="00DB0B39" w:rsidP="00DB0B39">
      <w:pPr>
        <w:jc w:val="both"/>
        <w:rPr>
          <w:rFonts w:cs="Arial"/>
          <w:szCs w:val="22"/>
        </w:rPr>
      </w:pPr>
      <w:r w:rsidRPr="00DC091B">
        <w:rPr>
          <w:rFonts w:cs="Arial"/>
          <w:szCs w:val="22"/>
        </w:rPr>
        <w:t>Dazu gehören auch die angemessene Verzinsung des Anlagekapitals, angemessene Abschreibungen, Verwaltungskosten einschließlich Gemeinkosten, bundes- und landesrechtliche Umweltabgaben und das Wasserentnahmeentgelt nach dem Wassergesetz für Baden-Württemberg.</w:t>
      </w:r>
    </w:p>
    <w:p w:rsidR="00DB0B39" w:rsidRPr="00DC091B" w:rsidRDefault="00DB0B39" w:rsidP="00DB0B39">
      <w:pPr>
        <w:jc w:val="both"/>
        <w:rPr>
          <w:rFonts w:cs="Arial"/>
          <w:szCs w:val="22"/>
        </w:rPr>
      </w:pPr>
    </w:p>
    <w:p w:rsidR="00DB0B39" w:rsidRDefault="00DB0B39" w:rsidP="00DB0B39">
      <w:pPr>
        <w:jc w:val="both"/>
        <w:rPr>
          <w:rFonts w:cs="Arial"/>
          <w:szCs w:val="22"/>
        </w:rPr>
      </w:pPr>
      <w:r w:rsidRPr="00DC091B">
        <w:rPr>
          <w:rFonts w:cs="Arial"/>
          <w:szCs w:val="22"/>
        </w:rPr>
        <w:t>Zudem gilt es grundsätzlich zwischen steuerrechtlichen und gebührenrechtlichen Vorschrif</w:t>
      </w:r>
      <w:r>
        <w:rPr>
          <w:rFonts w:cs="Arial"/>
          <w:szCs w:val="22"/>
        </w:rPr>
        <w:t>ten zu unterscheiden.</w:t>
      </w:r>
    </w:p>
    <w:p w:rsidR="00DB0B39" w:rsidRPr="00DC091B" w:rsidRDefault="00DB0B39" w:rsidP="00DB0B39">
      <w:pPr>
        <w:jc w:val="both"/>
        <w:rPr>
          <w:rFonts w:cs="Arial"/>
          <w:szCs w:val="22"/>
        </w:rPr>
      </w:pPr>
    </w:p>
    <w:p w:rsidR="00DB0B39" w:rsidRPr="00F71CF9" w:rsidRDefault="00DB0B39" w:rsidP="00DB0B39">
      <w:pPr>
        <w:jc w:val="both"/>
        <w:rPr>
          <w:rFonts w:cs="Arial"/>
          <w:color w:val="FF0000"/>
          <w:szCs w:val="22"/>
        </w:rPr>
      </w:pPr>
      <w:r w:rsidRPr="00DC091B">
        <w:rPr>
          <w:rFonts w:cs="Arial"/>
          <w:szCs w:val="22"/>
        </w:rPr>
        <w:t xml:space="preserve">Bsp.: </w:t>
      </w:r>
    </w:p>
    <w:p w:rsidR="00DB0B39" w:rsidRPr="00B44361" w:rsidRDefault="00DB0B39" w:rsidP="00DB0B39">
      <w:pPr>
        <w:jc w:val="both"/>
        <w:rPr>
          <w:rFonts w:cs="Arial"/>
          <w:szCs w:val="22"/>
        </w:rPr>
      </w:pPr>
      <w:r w:rsidRPr="00B44361">
        <w:rPr>
          <w:rFonts w:cs="Arial"/>
          <w:szCs w:val="22"/>
        </w:rPr>
        <w:t>Während beim steuerrechtlichen Jahresabschluss lediglich die tatsächlichen Zinsen des Fremdkapitals angesetzt werden, soll bei der Gebührenkalkulation eine angemessene Verzinsung des Anlagevermögens (Restbuchwert) berücksichtigt werden. Die Verzinsung des Anlagevermögens wurde in de</w:t>
      </w:r>
      <w:r w:rsidR="00141BEF" w:rsidRPr="00B44361">
        <w:rPr>
          <w:rFonts w:cs="Arial"/>
          <w:szCs w:val="22"/>
        </w:rPr>
        <w:t>r beiliegenden Kalkulation mit 2,5</w:t>
      </w:r>
      <w:r w:rsidRPr="00B44361">
        <w:rPr>
          <w:rFonts w:cs="Arial"/>
          <w:szCs w:val="22"/>
        </w:rPr>
        <w:t xml:space="preserve"> v.H. vorgenommen.</w:t>
      </w:r>
    </w:p>
    <w:p w:rsidR="00DB0B39" w:rsidRPr="00B44361" w:rsidRDefault="00DB0B39" w:rsidP="00DB0B39">
      <w:pPr>
        <w:jc w:val="both"/>
        <w:rPr>
          <w:rFonts w:cs="Arial"/>
          <w:szCs w:val="22"/>
        </w:rPr>
      </w:pPr>
    </w:p>
    <w:p w:rsidR="00DB0B39" w:rsidRPr="00DC091B" w:rsidRDefault="00DB0B39" w:rsidP="00DB0B39">
      <w:pPr>
        <w:jc w:val="both"/>
        <w:rPr>
          <w:rFonts w:cs="Arial"/>
          <w:szCs w:val="22"/>
        </w:rPr>
      </w:pPr>
      <w:r w:rsidRPr="00DC091B">
        <w:rPr>
          <w:rFonts w:cs="Arial"/>
          <w:szCs w:val="22"/>
        </w:rPr>
        <w:t>Nach der Rechtsprechung des VGH muss zur Festlegung  der Verbrauchsgebühr eine Kalkulation vorliegen, da der Gemeinderat nur so eine ihm zustehende Ermessensentscheidung über den Kostendeckungsgrad ausüben kann (siehe Anlage).</w:t>
      </w:r>
    </w:p>
    <w:p w:rsidR="00DB0B39" w:rsidRPr="00DC091B" w:rsidRDefault="00DB0B39" w:rsidP="00DB0B39">
      <w:pPr>
        <w:jc w:val="both"/>
        <w:rPr>
          <w:rFonts w:cs="Arial"/>
          <w:szCs w:val="22"/>
        </w:rPr>
      </w:pPr>
    </w:p>
    <w:p w:rsidR="00DB0B39" w:rsidRPr="00DC091B" w:rsidRDefault="00DB0B39" w:rsidP="00DB0B39">
      <w:pPr>
        <w:jc w:val="both"/>
        <w:rPr>
          <w:rFonts w:cs="Arial"/>
          <w:szCs w:val="22"/>
        </w:rPr>
      </w:pPr>
      <w:r>
        <w:rPr>
          <w:rFonts w:cs="Arial"/>
          <w:szCs w:val="22"/>
        </w:rPr>
        <w:t>Aus beiliegender</w:t>
      </w:r>
      <w:r w:rsidRPr="00DC091B">
        <w:rPr>
          <w:rFonts w:cs="Arial"/>
          <w:szCs w:val="22"/>
        </w:rPr>
        <w:t xml:space="preserve"> Kalkulation</w:t>
      </w:r>
      <w:r>
        <w:rPr>
          <w:rFonts w:cs="Arial"/>
          <w:szCs w:val="22"/>
        </w:rPr>
        <w:t xml:space="preserve"> sind die einzelnen ansatzfähigen Kosten mit der </w:t>
      </w:r>
      <w:r w:rsidRPr="00DC091B">
        <w:rPr>
          <w:rFonts w:cs="Arial"/>
          <w:szCs w:val="22"/>
        </w:rPr>
        <w:t>Gebührenobergrenze für d</w:t>
      </w:r>
      <w:r>
        <w:rPr>
          <w:rFonts w:cs="Arial"/>
          <w:szCs w:val="22"/>
        </w:rPr>
        <w:t>as Jahr 201</w:t>
      </w:r>
      <w:r w:rsidR="00011F23">
        <w:rPr>
          <w:rFonts w:cs="Arial"/>
          <w:szCs w:val="22"/>
        </w:rPr>
        <w:t>9</w:t>
      </w:r>
      <w:r w:rsidRPr="00DC091B">
        <w:rPr>
          <w:rFonts w:cs="Arial"/>
          <w:szCs w:val="22"/>
        </w:rPr>
        <w:t xml:space="preserve"> ersichtlich. Sie zeigen, dass keine „Gewinne“ erzielt werden sollen.</w:t>
      </w:r>
    </w:p>
    <w:p w:rsidR="00DB0B39" w:rsidRPr="00DC091B" w:rsidRDefault="00DB0B39" w:rsidP="00DB0B39">
      <w:pPr>
        <w:jc w:val="both"/>
        <w:rPr>
          <w:rFonts w:cs="Arial"/>
          <w:szCs w:val="22"/>
        </w:rPr>
      </w:pPr>
    </w:p>
    <w:p w:rsidR="00641F2E" w:rsidRPr="00DC091B" w:rsidRDefault="00DB0B39" w:rsidP="00641F2E">
      <w:pPr>
        <w:jc w:val="both"/>
        <w:rPr>
          <w:rFonts w:cs="Arial"/>
          <w:szCs w:val="22"/>
        </w:rPr>
      </w:pPr>
      <w:r w:rsidRPr="00DC091B">
        <w:rPr>
          <w:rFonts w:cs="Arial"/>
          <w:szCs w:val="22"/>
        </w:rPr>
        <w:t>Der durchschnittliche Abschreibungssatz beträgt 2,</w:t>
      </w:r>
      <w:r w:rsidR="0037144B">
        <w:rPr>
          <w:rFonts w:cs="Arial"/>
          <w:szCs w:val="22"/>
        </w:rPr>
        <w:t>05</w:t>
      </w:r>
      <w:r w:rsidRPr="00DC091B">
        <w:rPr>
          <w:rFonts w:cs="Arial"/>
          <w:szCs w:val="22"/>
        </w:rPr>
        <w:t xml:space="preserve"> </w:t>
      </w:r>
      <w:proofErr w:type="gramStart"/>
      <w:r w:rsidRPr="00DC091B">
        <w:rPr>
          <w:rFonts w:cs="Arial"/>
          <w:szCs w:val="22"/>
        </w:rPr>
        <w:t>v.H</w:t>
      </w:r>
      <w:r w:rsidR="00641F2E">
        <w:rPr>
          <w:rFonts w:cs="Arial"/>
          <w:szCs w:val="22"/>
        </w:rPr>
        <w:t>..</w:t>
      </w:r>
      <w:proofErr w:type="gramEnd"/>
      <w:r w:rsidR="00641F2E" w:rsidRPr="00DC091B">
        <w:rPr>
          <w:rFonts w:cs="Arial"/>
          <w:szCs w:val="22"/>
        </w:rPr>
        <w:t xml:space="preserve"> </w:t>
      </w:r>
      <w:r w:rsidR="00641F2E">
        <w:rPr>
          <w:rFonts w:cs="Arial"/>
          <w:szCs w:val="22"/>
        </w:rPr>
        <w:t>Die Ertragszuschüsse werden mit</w:t>
      </w:r>
      <w:r w:rsidR="00641F2E" w:rsidRPr="00DC091B">
        <w:rPr>
          <w:rFonts w:cs="Arial"/>
          <w:szCs w:val="22"/>
        </w:rPr>
        <w:t xml:space="preserve"> </w:t>
      </w:r>
      <w:r w:rsidR="00641F2E" w:rsidRPr="00251196">
        <w:rPr>
          <w:rFonts w:cs="Arial"/>
          <w:szCs w:val="22"/>
        </w:rPr>
        <w:t xml:space="preserve">2,5 v.H. </w:t>
      </w:r>
      <w:r w:rsidR="00641F2E">
        <w:rPr>
          <w:rFonts w:cs="Arial"/>
          <w:szCs w:val="22"/>
        </w:rPr>
        <w:t xml:space="preserve">aufgelöst, die im Jahr 2016 damit vollständig aufgebraucht wurden. </w:t>
      </w:r>
    </w:p>
    <w:p w:rsidR="00DB0B39" w:rsidRDefault="00DB0B39" w:rsidP="00DB0B39">
      <w:pPr>
        <w:jc w:val="both"/>
        <w:rPr>
          <w:rFonts w:cs="Arial"/>
          <w:szCs w:val="22"/>
        </w:rPr>
      </w:pPr>
    </w:p>
    <w:p w:rsidR="00D72BA7" w:rsidRDefault="00D72BA7" w:rsidP="00DB0B39">
      <w:pPr>
        <w:jc w:val="both"/>
        <w:rPr>
          <w:rFonts w:cs="Arial"/>
          <w:szCs w:val="22"/>
        </w:rPr>
      </w:pPr>
    </w:p>
    <w:p w:rsidR="00493D29" w:rsidRDefault="00493D29" w:rsidP="00DB0B39">
      <w:pPr>
        <w:jc w:val="both"/>
        <w:rPr>
          <w:rFonts w:cs="Arial"/>
          <w:szCs w:val="22"/>
        </w:rPr>
      </w:pPr>
    </w:p>
    <w:p w:rsidR="00493D29" w:rsidRDefault="00493D29" w:rsidP="00DB0B39">
      <w:pPr>
        <w:jc w:val="both"/>
        <w:rPr>
          <w:rFonts w:cs="Arial"/>
          <w:szCs w:val="22"/>
        </w:rPr>
      </w:pPr>
    </w:p>
    <w:p w:rsidR="00493D29" w:rsidRDefault="00493D29" w:rsidP="00DB0B39">
      <w:pPr>
        <w:jc w:val="both"/>
        <w:rPr>
          <w:rFonts w:cs="Arial"/>
          <w:szCs w:val="22"/>
        </w:rPr>
      </w:pPr>
    </w:p>
    <w:p w:rsidR="00493D29" w:rsidRDefault="00493D29" w:rsidP="00DB0B39">
      <w:pPr>
        <w:jc w:val="both"/>
        <w:rPr>
          <w:rFonts w:cs="Arial"/>
          <w:szCs w:val="22"/>
        </w:rPr>
      </w:pPr>
    </w:p>
    <w:p w:rsidR="00873B9B" w:rsidRDefault="00873B9B" w:rsidP="00873B9B">
      <w:pPr>
        <w:contextualSpacing/>
        <w:jc w:val="both"/>
      </w:pPr>
      <w:r>
        <w:lastRenderedPageBreak/>
        <w:t xml:space="preserve">Folgende Entwicklungen führen zur vorgeschlagenen Anpassung der Verbrauchsgebühr: </w:t>
      </w:r>
    </w:p>
    <w:p w:rsidR="00D72BA7" w:rsidRDefault="00D72BA7" w:rsidP="00873B9B">
      <w:pPr>
        <w:contextualSpacing/>
        <w:jc w:val="both"/>
      </w:pPr>
    </w:p>
    <w:p w:rsidR="00873B9B" w:rsidRDefault="00873B9B" w:rsidP="00873B9B">
      <w:pPr>
        <w:pStyle w:val="Listenabsatz"/>
        <w:numPr>
          <w:ilvl w:val="0"/>
          <w:numId w:val="6"/>
        </w:numPr>
        <w:contextualSpacing/>
        <w:jc w:val="both"/>
      </w:pPr>
      <w:r>
        <w:t>Durch die Änderung des Wassergesetzes vom 29.07.2014 steigt der sogenannte Wasserpfennig von 0,051 Euro</w:t>
      </w:r>
      <w:r w:rsidR="00493D29">
        <w:t>/cbm</w:t>
      </w:r>
      <w:r>
        <w:t xml:space="preserve"> schrittweise auf 0,081 Euro</w:t>
      </w:r>
      <w:r w:rsidR="00493D29">
        <w:t>/cbm</w:t>
      </w:r>
      <w:r>
        <w:t xml:space="preserve"> zum 01.01.2015 und auf 0,10 Euro</w:t>
      </w:r>
      <w:r w:rsidR="00493D29">
        <w:t>/cbm</w:t>
      </w:r>
      <w:r>
        <w:t xml:space="preserve"> zum 01.01.2019.</w:t>
      </w:r>
    </w:p>
    <w:p w:rsidR="00873B9B" w:rsidRDefault="00873B9B" w:rsidP="00873B9B">
      <w:pPr>
        <w:pStyle w:val="Listenabsatz"/>
        <w:numPr>
          <w:ilvl w:val="0"/>
          <w:numId w:val="6"/>
        </w:numPr>
        <w:contextualSpacing/>
        <w:jc w:val="both"/>
      </w:pPr>
      <w:r>
        <w:t xml:space="preserve">Die beachtlichen Investitionen der Vorjahre führen zu steigenden Abschreibungen und einem </w:t>
      </w:r>
      <w:r w:rsidR="00493D29">
        <w:t xml:space="preserve">merklich </w:t>
      </w:r>
      <w:r>
        <w:t xml:space="preserve">höheren Anlagevermögen, das wiederum eine erhöhte kalkulatorische Verzinsung bewirkt. </w:t>
      </w:r>
    </w:p>
    <w:p w:rsidR="00ED0F8C" w:rsidRPr="00DC091B" w:rsidRDefault="00ED0F8C" w:rsidP="00DB0B39">
      <w:pPr>
        <w:jc w:val="both"/>
        <w:rPr>
          <w:rFonts w:cs="Arial"/>
          <w:szCs w:val="22"/>
        </w:rPr>
      </w:pPr>
    </w:p>
    <w:p w:rsidR="00DB0B39" w:rsidRPr="00DC091B" w:rsidRDefault="00DB0B39" w:rsidP="00DB0B39">
      <w:pPr>
        <w:jc w:val="both"/>
        <w:rPr>
          <w:rFonts w:cs="Arial"/>
          <w:szCs w:val="22"/>
        </w:rPr>
      </w:pPr>
    </w:p>
    <w:p w:rsidR="00DB0B39" w:rsidRPr="00DC091B" w:rsidRDefault="00DB0B39" w:rsidP="00DB0B39">
      <w:pPr>
        <w:jc w:val="both"/>
        <w:rPr>
          <w:rFonts w:cs="Arial"/>
          <w:szCs w:val="22"/>
          <w:u w:val="single"/>
        </w:rPr>
      </w:pPr>
      <w:r>
        <w:rPr>
          <w:rFonts w:cs="Arial"/>
          <w:szCs w:val="22"/>
          <w:u w:val="single"/>
        </w:rPr>
        <w:t>II</w:t>
      </w:r>
      <w:r w:rsidRPr="00DC091B">
        <w:rPr>
          <w:rFonts w:cs="Arial"/>
          <w:szCs w:val="22"/>
          <w:u w:val="single"/>
        </w:rPr>
        <w:t>. Beschlussvorschlag</w:t>
      </w:r>
    </w:p>
    <w:p w:rsidR="00DB0B39" w:rsidRPr="00DC091B" w:rsidRDefault="00DB0B39" w:rsidP="00DB0B39">
      <w:pPr>
        <w:jc w:val="both"/>
        <w:rPr>
          <w:rFonts w:cs="Arial"/>
          <w:szCs w:val="22"/>
        </w:rPr>
      </w:pPr>
      <w:r w:rsidRPr="00DC091B">
        <w:rPr>
          <w:rFonts w:cs="Arial"/>
          <w:szCs w:val="22"/>
        </w:rPr>
        <w:t>Der Gemeinderat möge im Rahmen seiner Ermessensentscheidung,</w:t>
      </w:r>
    </w:p>
    <w:p w:rsidR="00DB0B39" w:rsidRPr="00DC091B" w:rsidRDefault="00DB0B39" w:rsidP="00DB0B39">
      <w:pPr>
        <w:jc w:val="both"/>
        <w:rPr>
          <w:rFonts w:cs="Arial"/>
          <w:szCs w:val="22"/>
        </w:rPr>
      </w:pPr>
    </w:p>
    <w:p w:rsidR="00DB0B39" w:rsidRPr="00DC091B" w:rsidRDefault="00DB0B39" w:rsidP="00DB0B39">
      <w:pPr>
        <w:numPr>
          <w:ilvl w:val="0"/>
          <w:numId w:val="3"/>
        </w:numPr>
        <w:overflowPunct w:val="0"/>
        <w:autoSpaceDE w:val="0"/>
        <w:autoSpaceDN w:val="0"/>
        <w:adjustRightInd w:val="0"/>
        <w:jc w:val="both"/>
        <w:textAlignment w:val="baseline"/>
        <w:rPr>
          <w:rFonts w:cs="Arial"/>
          <w:szCs w:val="22"/>
          <w:u w:val="single"/>
        </w:rPr>
      </w:pPr>
      <w:r w:rsidRPr="00DC091B">
        <w:rPr>
          <w:rFonts w:cs="Arial"/>
          <w:szCs w:val="22"/>
        </w:rPr>
        <w:t xml:space="preserve">die Abschreibungs- und Auflösungssätze, den kalkulatorischen Zinssatz wie aus der Sitzungsvorlage ersichtlich, bzw. vorgetragen festlegen </w:t>
      </w:r>
      <w:r w:rsidRPr="00DC091B">
        <w:rPr>
          <w:rFonts w:cs="Arial"/>
          <w:szCs w:val="22"/>
          <w:u w:val="single"/>
        </w:rPr>
        <w:t>und</w:t>
      </w:r>
    </w:p>
    <w:p w:rsidR="00DB0B39" w:rsidRPr="00DC091B" w:rsidRDefault="00DB0B39" w:rsidP="00DB0B39">
      <w:pPr>
        <w:jc w:val="both"/>
        <w:rPr>
          <w:rFonts w:cs="Arial"/>
          <w:szCs w:val="22"/>
        </w:rPr>
      </w:pPr>
    </w:p>
    <w:p w:rsidR="00DB0B39" w:rsidRPr="00DC091B" w:rsidRDefault="00DB0B39" w:rsidP="00DB0B39">
      <w:pPr>
        <w:numPr>
          <w:ilvl w:val="0"/>
          <w:numId w:val="3"/>
        </w:numPr>
        <w:overflowPunct w:val="0"/>
        <w:autoSpaceDE w:val="0"/>
        <w:autoSpaceDN w:val="0"/>
        <w:adjustRightInd w:val="0"/>
        <w:jc w:val="both"/>
        <w:textAlignment w:val="baseline"/>
        <w:rPr>
          <w:rFonts w:cs="Arial"/>
          <w:szCs w:val="22"/>
        </w:rPr>
      </w:pPr>
      <w:r w:rsidRPr="00DC091B">
        <w:rPr>
          <w:rFonts w:cs="Arial"/>
          <w:szCs w:val="22"/>
        </w:rPr>
        <w:t>die Änderungssatzung mit Wirkung vom 01.01.201</w:t>
      </w:r>
      <w:r w:rsidR="00011F23">
        <w:rPr>
          <w:rFonts w:cs="Arial"/>
          <w:szCs w:val="22"/>
        </w:rPr>
        <w:t>9</w:t>
      </w:r>
      <w:r w:rsidRPr="00DC091B">
        <w:rPr>
          <w:rFonts w:cs="Arial"/>
          <w:szCs w:val="22"/>
        </w:rPr>
        <w:t xml:space="preserve"> wie vorgelegt beschließen:</w:t>
      </w:r>
    </w:p>
    <w:p w:rsidR="00DB0B39" w:rsidRDefault="00DB0B39" w:rsidP="00DB0B39">
      <w:pPr>
        <w:jc w:val="both"/>
        <w:rPr>
          <w:rFonts w:cs="Arial"/>
          <w:szCs w:val="22"/>
        </w:rPr>
      </w:pPr>
    </w:p>
    <w:p w:rsidR="00ED0F8C" w:rsidRPr="00DC091B" w:rsidRDefault="00ED0F8C" w:rsidP="00DB0B39">
      <w:pPr>
        <w:jc w:val="both"/>
        <w:rPr>
          <w:rFonts w:cs="Arial"/>
          <w:szCs w:val="22"/>
        </w:rPr>
      </w:pPr>
    </w:p>
    <w:p w:rsidR="00DB0B39" w:rsidRPr="00DC091B" w:rsidRDefault="00DB0B39" w:rsidP="00DB0B39">
      <w:pPr>
        <w:jc w:val="both"/>
        <w:rPr>
          <w:rFonts w:cs="Arial"/>
          <w:szCs w:val="22"/>
        </w:rPr>
      </w:pPr>
      <w:r w:rsidRPr="00DC091B">
        <w:rPr>
          <w:rFonts w:cs="Arial"/>
          <w:b/>
          <w:szCs w:val="22"/>
        </w:rPr>
        <w:t>§ 42  der Wasserversorgungssatzung</w:t>
      </w:r>
      <w:r w:rsidRPr="00DC091B">
        <w:rPr>
          <w:rFonts w:cs="Arial"/>
          <w:szCs w:val="22"/>
        </w:rPr>
        <w:t xml:space="preserve"> erhält folgende Fassung:</w:t>
      </w:r>
    </w:p>
    <w:p w:rsidR="00DB0B39" w:rsidRPr="00DC091B" w:rsidRDefault="00DB0B39" w:rsidP="00DB0B39">
      <w:pPr>
        <w:jc w:val="both"/>
        <w:rPr>
          <w:rFonts w:cs="Arial"/>
          <w:szCs w:val="22"/>
        </w:rPr>
      </w:pPr>
    </w:p>
    <w:p w:rsidR="00DB0B39" w:rsidRPr="00DC091B" w:rsidRDefault="00DB0B39" w:rsidP="00DB0B39">
      <w:pPr>
        <w:numPr>
          <w:ilvl w:val="0"/>
          <w:numId w:val="4"/>
        </w:numPr>
        <w:overflowPunct w:val="0"/>
        <w:autoSpaceDE w:val="0"/>
        <w:autoSpaceDN w:val="0"/>
        <w:adjustRightInd w:val="0"/>
        <w:jc w:val="both"/>
        <w:textAlignment w:val="baseline"/>
        <w:rPr>
          <w:rFonts w:cs="Arial"/>
          <w:szCs w:val="22"/>
        </w:rPr>
      </w:pPr>
      <w:r w:rsidRPr="00DC091B">
        <w:rPr>
          <w:rFonts w:cs="Arial"/>
          <w:szCs w:val="22"/>
        </w:rPr>
        <w:t xml:space="preserve">Die Verbrauchsgebühr wird nach der gemessenen Wassermenge (§ 43) berechnet. Die Verbrauchsgebühr beträgt je Kubikmeter </w:t>
      </w:r>
    </w:p>
    <w:p w:rsidR="00DB0B39" w:rsidRPr="00DC091B" w:rsidRDefault="00DB0B39" w:rsidP="00DB0B39">
      <w:pPr>
        <w:jc w:val="both"/>
        <w:rPr>
          <w:rFonts w:cs="Arial"/>
          <w:szCs w:val="22"/>
        </w:rPr>
      </w:pPr>
    </w:p>
    <w:p w:rsidR="00DB0B39" w:rsidRPr="00DC091B" w:rsidRDefault="00011F23" w:rsidP="00DB0B39">
      <w:pPr>
        <w:ind w:left="709" w:firstLine="709"/>
        <w:jc w:val="both"/>
        <w:rPr>
          <w:rFonts w:cs="Arial"/>
          <w:szCs w:val="22"/>
        </w:rPr>
      </w:pPr>
      <w:r>
        <w:rPr>
          <w:rFonts w:cs="Arial"/>
          <w:szCs w:val="22"/>
        </w:rPr>
        <w:t>ab   01.01.201</w:t>
      </w:r>
      <w:r w:rsidR="0037144B">
        <w:rPr>
          <w:rFonts w:cs="Arial"/>
          <w:szCs w:val="22"/>
        </w:rPr>
        <w:t>9</w:t>
      </w:r>
      <w:r>
        <w:rPr>
          <w:rFonts w:cs="Arial"/>
          <w:szCs w:val="22"/>
        </w:rPr>
        <w:tab/>
        <w:t>1,6</w:t>
      </w:r>
      <w:r w:rsidR="00ED0F8C">
        <w:rPr>
          <w:rFonts w:cs="Arial"/>
          <w:szCs w:val="22"/>
        </w:rPr>
        <w:t>0</w:t>
      </w:r>
      <w:r w:rsidR="00DB0B39" w:rsidRPr="00DC091B">
        <w:rPr>
          <w:rFonts w:cs="Arial"/>
          <w:szCs w:val="22"/>
        </w:rPr>
        <w:t xml:space="preserve"> €</w:t>
      </w:r>
    </w:p>
    <w:p w:rsidR="00DB0B39" w:rsidRPr="00DC091B" w:rsidRDefault="00DB0B39" w:rsidP="00DB0B39">
      <w:pPr>
        <w:jc w:val="both"/>
        <w:rPr>
          <w:rFonts w:cs="Arial"/>
          <w:szCs w:val="22"/>
        </w:rPr>
      </w:pPr>
    </w:p>
    <w:p w:rsidR="00DB0B39" w:rsidRPr="00DC091B" w:rsidRDefault="00DB0B39" w:rsidP="00DB0B39">
      <w:pPr>
        <w:numPr>
          <w:ilvl w:val="0"/>
          <w:numId w:val="4"/>
        </w:numPr>
        <w:overflowPunct w:val="0"/>
        <w:autoSpaceDE w:val="0"/>
        <w:autoSpaceDN w:val="0"/>
        <w:adjustRightInd w:val="0"/>
        <w:jc w:val="both"/>
        <w:textAlignment w:val="baseline"/>
        <w:rPr>
          <w:rFonts w:cs="Arial"/>
          <w:szCs w:val="22"/>
        </w:rPr>
      </w:pPr>
      <w:r w:rsidRPr="00DC091B">
        <w:rPr>
          <w:rFonts w:cs="Arial"/>
          <w:szCs w:val="22"/>
        </w:rPr>
        <w:t>Wird ein Bauwasserzähler oder ein sonstiger beweglicher Wasserzähler verwendet, beträgt die Verb</w:t>
      </w:r>
      <w:r w:rsidR="00ED0F8C">
        <w:rPr>
          <w:rFonts w:cs="Arial"/>
          <w:szCs w:val="22"/>
        </w:rPr>
        <w:t>rauchsgebühr pr</w:t>
      </w:r>
      <w:r w:rsidR="00011F23">
        <w:rPr>
          <w:rFonts w:cs="Arial"/>
          <w:szCs w:val="22"/>
        </w:rPr>
        <w:t>o Kubikmeter 1,7</w:t>
      </w:r>
      <w:r w:rsidR="00ED0F8C">
        <w:rPr>
          <w:rFonts w:cs="Arial"/>
          <w:szCs w:val="22"/>
        </w:rPr>
        <w:t>5</w:t>
      </w:r>
      <w:r w:rsidRPr="00DC091B">
        <w:rPr>
          <w:rFonts w:cs="Arial"/>
          <w:szCs w:val="22"/>
        </w:rPr>
        <w:t xml:space="preserve"> €.</w:t>
      </w:r>
    </w:p>
    <w:p w:rsidR="00DB0B39" w:rsidRPr="00DC091B" w:rsidRDefault="00DB0B39" w:rsidP="00DB0B39">
      <w:pPr>
        <w:jc w:val="both"/>
        <w:rPr>
          <w:rFonts w:cs="Arial"/>
          <w:szCs w:val="22"/>
        </w:rPr>
      </w:pPr>
    </w:p>
    <w:p w:rsidR="00DB0B39" w:rsidRDefault="00DB0B39" w:rsidP="00DB0B39">
      <w:pPr>
        <w:jc w:val="both"/>
        <w:rPr>
          <w:rFonts w:cs="Arial"/>
          <w:szCs w:val="22"/>
        </w:rPr>
      </w:pPr>
    </w:p>
    <w:p w:rsidR="00ED0F8C" w:rsidRPr="00DC091B" w:rsidRDefault="00ED0F8C" w:rsidP="00DB0B39">
      <w:pPr>
        <w:jc w:val="both"/>
        <w:rPr>
          <w:rFonts w:cs="Arial"/>
          <w:szCs w:val="22"/>
        </w:rPr>
      </w:pPr>
    </w:p>
    <w:p w:rsidR="00DB0B39" w:rsidRPr="00DC091B" w:rsidRDefault="00DB0B39" w:rsidP="00DB0B39">
      <w:pPr>
        <w:jc w:val="both"/>
        <w:rPr>
          <w:rFonts w:cs="Arial"/>
          <w:szCs w:val="22"/>
          <w:u w:val="single"/>
        </w:rPr>
      </w:pPr>
      <w:r>
        <w:rPr>
          <w:rFonts w:cs="Arial"/>
          <w:szCs w:val="22"/>
          <w:u w:val="single"/>
        </w:rPr>
        <w:t>III</w:t>
      </w:r>
      <w:r w:rsidRPr="00DC091B">
        <w:rPr>
          <w:rFonts w:cs="Arial"/>
          <w:szCs w:val="22"/>
          <w:u w:val="single"/>
        </w:rPr>
        <w:t>. Anlage</w:t>
      </w:r>
      <w:r>
        <w:rPr>
          <w:rFonts w:cs="Arial"/>
          <w:szCs w:val="22"/>
          <w:u w:val="single"/>
        </w:rPr>
        <w:t>n</w:t>
      </w:r>
    </w:p>
    <w:p w:rsidR="00DB0B39" w:rsidRPr="00DC091B" w:rsidRDefault="00DB0B39" w:rsidP="00DB0B39">
      <w:pPr>
        <w:jc w:val="both"/>
        <w:rPr>
          <w:rFonts w:cs="Arial"/>
          <w:szCs w:val="22"/>
        </w:rPr>
      </w:pPr>
      <w:r w:rsidRPr="00DC091B">
        <w:rPr>
          <w:rFonts w:cs="Arial"/>
          <w:szCs w:val="22"/>
        </w:rPr>
        <w:t>Satzungsänderung</w:t>
      </w:r>
    </w:p>
    <w:p w:rsidR="00DB0B39" w:rsidRPr="00DC091B" w:rsidRDefault="00DB0B39" w:rsidP="00DB0B39">
      <w:pPr>
        <w:jc w:val="both"/>
        <w:rPr>
          <w:rFonts w:cs="Arial"/>
          <w:szCs w:val="22"/>
        </w:rPr>
      </w:pPr>
      <w:r w:rsidRPr="00DC091B">
        <w:rPr>
          <w:rFonts w:cs="Arial"/>
          <w:szCs w:val="22"/>
        </w:rPr>
        <w:t xml:space="preserve">Kalkulationen </w:t>
      </w:r>
      <w:r w:rsidR="00011F23">
        <w:rPr>
          <w:rFonts w:cs="Arial"/>
          <w:szCs w:val="22"/>
        </w:rPr>
        <w:t>2019</w:t>
      </w:r>
    </w:p>
    <w:p w:rsidR="00DB0B39" w:rsidRDefault="00011F23" w:rsidP="00DB0B39">
      <w:pPr>
        <w:jc w:val="both"/>
        <w:rPr>
          <w:rFonts w:cs="Arial"/>
          <w:szCs w:val="22"/>
        </w:rPr>
      </w:pPr>
      <w:r>
        <w:rPr>
          <w:rFonts w:cs="Arial"/>
          <w:szCs w:val="22"/>
        </w:rPr>
        <w:t>Anlagenachweis 2</w:t>
      </w:r>
      <w:bookmarkStart w:id="0" w:name="_GoBack"/>
      <w:bookmarkEnd w:id="0"/>
      <w:r>
        <w:rPr>
          <w:rFonts w:cs="Arial"/>
          <w:szCs w:val="22"/>
        </w:rPr>
        <w:t>017</w:t>
      </w:r>
    </w:p>
    <w:sectPr w:rsidR="00DB0B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3F0"/>
    <w:multiLevelType w:val="hybridMultilevel"/>
    <w:tmpl w:val="B4CEE7A6"/>
    <w:lvl w:ilvl="0" w:tplc="5C92B49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6B807B6"/>
    <w:multiLevelType w:val="hybridMultilevel"/>
    <w:tmpl w:val="086679EA"/>
    <w:lvl w:ilvl="0" w:tplc="5F7A1F1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811C08"/>
    <w:multiLevelType w:val="hybridMultilevel"/>
    <w:tmpl w:val="528AD2F6"/>
    <w:lvl w:ilvl="0" w:tplc="19B2215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126AB4"/>
    <w:multiLevelType w:val="hybridMultilevel"/>
    <w:tmpl w:val="FF2A7706"/>
    <w:lvl w:ilvl="0" w:tplc="9766D04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CA0578"/>
    <w:multiLevelType w:val="hybridMultilevel"/>
    <w:tmpl w:val="96A6D5A4"/>
    <w:lvl w:ilvl="0" w:tplc="04070015">
      <w:start w:val="1"/>
      <w:numFmt w:val="decimal"/>
      <w:lvlText w:val="(%1)"/>
      <w:lvlJc w:val="left"/>
      <w:pPr>
        <w:tabs>
          <w:tab w:val="num" w:pos="720"/>
        </w:tabs>
        <w:ind w:left="720" w:hanging="360"/>
      </w:pPr>
      <w:rPr>
        <w:rFonts w:hint="default"/>
      </w:rPr>
    </w:lvl>
    <w:lvl w:ilvl="1" w:tplc="C8E2231C">
      <w:start w:val="1"/>
      <w:numFmt w:val="bullet"/>
      <w:lvlText w:val="-"/>
      <w:lvlJc w:val="left"/>
      <w:pPr>
        <w:tabs>
          <w:tab w:val="num" w:pos="1440"/>
        </w:tabs>
        <w:ind w:left="1440" w:hanging="360"/>
      </w:pPr>
      <w:rPr>
        <w:rFonts w:ascii="Times New Roman" w:eastAsia="Times New Roman" w:hAnsi="Times New Roman" w:cs="Times New Roman" w:hint="default"/>
      </w:rPr>
    </w:lvl>
    <w:lvl w:ilvl="2" w:tplc="2AC07F28">
      <w:start w:val="1"/>
      <w:numFmt w:val="lowerLetter"/>
      <w:lvlText w:val="%3."/>
      <w:lvlJc w:val="left"/>
      <w:pPr>
        <w:tabs>
          <w:tab w:val="num" w:pos="2340"/>
        </w:tabs>
        <w:ind w:left="2340" w:hanging="360"/>
      </w:pPr>
      <w:rPr>
        <w:rFonts w:hint="default"/>
      </w:rPr>
    </w:lvl>
    <w:lvl w:ilvl="3" w:tplc="824C0048">
      <w:start w:val="1"/>
      <w:numFmt w:val="lowerLetter"/>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B7C24FE"/>
    <w:multiLevelType w:val="singleLevel"/>
    <w:tmpl w:val="0407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 w:numId="4">
    <w:abstractNumId w:val="4"/>
  </w:num>
  <w:num w:numId="5">
    <w:abstractNumId w:val="5"/>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75"/>
    <w:rsid w:val="00011F23"/>
    <w:rsid w:val="000A5577"/>
    <w:rsid w:val="000A5FC7"/>
    <w:rsid w:val="000C3B96"/>
    <w:rsid w:val="000C6D94"/>
    <w:rsid w:val="00112D75"/>
    <w:rsid w:val="00141BEF"/>
    <w:rsid w:val="00251196"/>
    <w:rsid w:val="00286709"/>
    <w:rsid w:val="002916AB"/>
    <w:rsid w:val="00370C8E"/>
    <w:rsid w:val="0037144B"/>
    <w:rsid w:val="0037205B"/>
    <w:rsid w:val="003D3621"/>
    <w:rsid w:val="003E6F81"/>
    <w:rsid w:val="003F1671"/>
    <w:rsid w:val="00490491"/>
    <w:rsid w:val="00493D29"/>
    <w:rsid w:val="00570652"/>
    <w:rsid w:val="0057552A"/>
    <w:rsid w:val="005A7FD6"/>
    <w:rsid w:val="00641F2E"/>
    <w:rsid w:val="006779CE"/>
    <w:rsid w:val="006C5FF4"/>
    <w:rsid w:val="007A5F82"/>
    <w:rsid w:val="007A7D4E"/>
    <w:rsid w:val="007D2CCA"/>
    <w:rsid w:val="00873B9B"/>
    <w:rsid w:val="008C0817"/>
    <w:rsid w:val="00950226"/>
    <w:rsid w:val="009617A2"/>
    <w:rsid w:val="00986630"/>
    <w:rsid w:val="0098712F"/>
    <w:rsid w:val="009A2616"/>
    <w:rsid w:val="009B1012"/>
    <w:rsid w:val="00A152CD"/>
    <w:rsid w:val="00A26652"/>
    <w:rsid w:val="00B142D5"/>
    <w:rsid w:val="00B43021"/>
    <w:rsid w:val="00B44361"/>
    <w:rsid w:val="00BE75B1"/>
    <w:rsid w:val="00C05369"/>
    <w:rsid w:val="00D238FA"/>
    <w:rsid w:val="00D325AD"/>
    <w:rsid w:val="00D72BA7"/>
    <w:rsid w:val="00DB0B39"/>
    <w:rsid w:val="00DC1D99"/>
    <w:rsid w:val="00DC6FE8"/>
    <w:rsid w:val="00E245C9"/>
    <w:rsid w:val="00E66E2D"/>
    <w:rsid w:val="00ED0F8C"/>
    <w:rsid w:val="00F71CF9"/>
    <w:rsid w:val="00FA6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CF56"/>
  <w15:docId w15:val="{126D5D1C-A584-4354-A374-DBD0EA92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2D75"/>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2D75"/>
    <w:pPr>
      <w:ind w:left="708"/>
    </w:pPr>
  </w:style>
  <w:style w:type="paragraph" w:styleId="Sprechblasentext">
    <w:name w:val="Balloon Text"/>
    <w:basedOn w:val="Standard"/>
    <w:link w:val="SprechblasentextZchn"/>
    <w:uiPriority w:val="99"/>
    <w:semiHidden/>
    <w:unhideWhenUsed/>
    <w:rsid w:val="00B443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436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436172">
      <w:bodyDiv w:val="1"/>
      <w:marLeft w:val="0"/>
      <w:marRight w:val="0"/>
      <w:marTop w:val="0"/>
      <w:marBottom w:val="0"/>
      <w:divBdr>
        <w:top w:val="none" w:sz="0" w:space="0" w:color="auto"/>
        <w:left w:val="none" w:sz="0" w:space="0" w:color="auto"/>
        <w:bottom w:val="none" w:sz="0" w:space="0" w:color="auto"/>
        <w:right w:val="none" w:sz="0" w:space="0" w:color="auto"/>
      </w:divBdr>
    </w:div>
    <w:div w:id="20184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Keller</dc:creator>
  <cp:lastModifiedBy>Florian Keller | Gemeinde Frickingen</cp:lastModifiedBy>
  <cp:revision>21</cp:revision>
  <cp:lastPrinted>2018-11-15T12:17:00Z</cp:lastPrinted>
  <dcterms:created xsi:type="dcterms:W3CDTF">2016-12-01T14:57:00Z</dcterms:created>
  <dcterms:modified xsi:type="dcterms:W3CDTF">2018-11-19T09:28:00Z</dcterms:modified>
</cp:coreProperties>
</file>